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428974" w14:textId="5E0E2301" w:rsidR="007611D9" w:rsidRPr="007611D9" w:rsidRDefault="00BA05AA" w:rsidP="007611D9">
      <w:pPr>
        <w:bidi/>
      </w:pPr>
      <w:r>
        <w:rPr>
          <w:b/>
          <w:bCs/>
          <w:noProof/>
          <w:sz w:val="28"/>
          <w:szCs w:val="28"/>
          <w:rtl/>
          <w:lang w:val="ar-SA"/>
        </w:rPr>
        <mc:AlternateContent>
          <mc:Choice Requires="wpi">
            <w:drawing>
              <wp:anchor distT="0" distB="0" distL="114300" distR="114300" simplePos="0" relativeHeight="251659264" behindDoc="0" locked="0" layoutInCell="1" allowOverlap="1" wp14:anchorId="0B188997" wp14:editId="09EE8AC3">
                <wp:simplePos x="0" y="0"/>
                <wp:positionH relativeFrom="column">
                  <wp:posOffset>5195815</wp:posOffset>
                </wp:positionH>
                <wp:positionV relativeFrom="paragraph">
                  <wp:posOffset>135004</wp:posOffset>
                </wp:positionV>
                <wp:extent cx="360" cy="360"/>
                <wp:effectExtent l="38100" t="38100" r="38100" b="38100"/>
                <wp:wrapNone/>
                <wp:docPr id="331272962" name="Ink 1"/>
                <wp:cNvGraphicFramePr/>
                <a:graphic xmlns:a="http://schemas.openxmlformats.org/drawingml/2006/main">
                  <a:graphicData uri="http://schemas.microsoft.com/office/word/2010/wordprocessingInk">
                    <w14:contentPart bwMode="auto" r:id="rId5">
                      <w14:nvContentPartPr>
                        <w14:cNvContentPartPr/>
                      </w14:nvContentPartPr>
                      <w14:xfrm>
                        <a:off x="0" y="0"/>
                        <a:ext cx="360" cy="360"/>
                      </w14:xfrm>
                    </w14:contentPart>
                  </a:graphicData>
                </a:graphic>
              </wp:anchor>
            </w:drawing>
          </mc:Choice>
          <mc:Fallback>
            <w:pict>
              <v:shapetype w14:anchorId="71B1DE6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08.6pt;margin-top:10.15pt;width:1.05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WVYmKfUBAACOBQAAEAAAAGRycy9pbmsvaW5rMS54bWy0&#10;VF1vmzAUfZ/U/2B5D3tZwECTEFRS9aGRJm1q1XbS9kjBBatgR8aE5N/vYowTDZg0aRMSH9ecc8/1&#10;ub43t8eqRAcqayZ4jD2HYER5KjLG8xh/f9ktQoxqlfAsKQWnMT7RGt9urz7cMP5elRHcETDwunur&#10;yhgXSu0j123b1mkDR8jc9QkJ3C/8/dtXvDWojL4xzhSkrIdQKriiR9WRRSyLcaqOxP4P3M+ikSm1&#10;y11Epuc/lExSuhOySpRlLBLOaYl4UoHuHxip0x5eGOTJqcSoYlDwwne86/V1eL+BQHKM8cV3AxJr&#10;UFJhd5rz53/g3I05O1mBv16tMTKSMnqY0/RwN0OwAmctPJ+F30/DNyO0qw2P5jf+UYo9lYrRs8e9&#10;I2bhhNL+W5vTuyRpLcqmawyMDknZgF8eIefcnjvhxpgPjPmnfGDKLN+luClfxuo6i2bpfis3o2Or&#10;JhjBtb9kNPYZCwyl9sqs2DM39L5iFYVJUO3tIVQ1FN+Fn5XU88In/nJBwoW/evH8yF9GhDhesOma&#10;bcjXH/OB81U2dWH5XuX5QOsVW2lfXMsyVdjGIA4JlranL/tiCltQlhfqj2AjUaOt4IlRpVsemYH1&#10;RN9i/FFPK6SRfUCXQpCHwhARRD5/InAtN373HPZC89hEsN/bXwAAAP//AwBQSwMEFAAGAAgAAAAh&#10;AE5+4RndAAAACQEAAA8AAABkcnMvZG93bnJldi54bWxMj8tOwzAQRfdI/IM1SOyok9DSEOJUPMSC&#10;RRcU2Dvx5CHscRQ7bfh7hhXdzePozplytzgrjjiFwZOCdJWAQGq8GahT8PnxepODCFGT0dYTKvjB&#10;ALvq8qLUhfEnesfjIXaCQygUWkEf41hIGZoenQ4rPyLxrvWT05HbqZNm0icOd1ZmSXInnR6IL/R6&#10;xOcem+/D7BSsqal1G7Zv+/npZb/ZoG1n/6XU9dXy+AAi4hL/YfjTZ3Wo2Kn2M5kgrII83WaMKsiS&#10;WxAM5Ok9FzUPsjXIqpTnH1S/AA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LCVIIJrAQAAAwMAAA4AAAAAAAAAAAAAAAAAPAIAAGRycy9lMm9Eb2MueG1sUEsB&#10;Ai0AFAAGAAgAAAAhAFlWJin1AQAAjgUAABAAAAAAAAAAAAAAAAAA0wMAAGRycy9pbmsvaW5rMS54&#10;bWxQSwECLQAUAAYACAAAACEATn7hGd0AAAAJAQAADwAAAAAAAAAAAAAAAAD2BQAAZHJzL2Rvd25y&#10;ZXYueG1sUEsBAi0AFAAGAAgAAAAhAHkYvJ2/AAAAIQEAABkAAAAAAAAAAAAAAAAAAAcAAGRycy9f&#10;cmVscy9lMm9Eb2MueG1sLnJlbHNQSwUGAAAAAAYABgB4AQAA9gcAAAAA&#10;">
                <v:imagedata r:id="rId6" o:title=""/>
              </v:shape>
            </w:pict>
          </mc:Fallback>
        </mc:AlternateContent>
      </w:r>
      <w:r w:rsidR="007611D9" w:rsidRPr="00BA05AA">
        <w:rPr>
          <w:b/>
          <w:bCs/>
          <w:sz w:val="28"/>
          <w:szCs w:val="28"/>
          <w:rtl/>
        </w:rPr>
        <w:t xml:space="preserve">أحمد عبد </w:t>
      </w:r>
      <w:r>
        <w:rPr>
          <w:rFonts w:hint="cs"/>
          <w:b/>
          <w:bCs/>
          <w:sz w:val="28"/>
          <w:szCs w:val="28"/>
          <w:rtl/>
          <w:lang w:bidi="ar-EG"/>
        </w:rPr>
        <w:t>السلا</w:t>
      </w:r>
      <w:r w:rsidR="00CF7489">
        <w:rPr>
          <w:rFonts w:hint="cs"/>
          <w:b/>
          <w:bCs/>
          <w:sz w:val="28"/>
          <w:szCs w:val="28"/>
          <w:rtl/>
          <w:lang w:bidi="ar-EG"/>
        </w:rPr>
        <w:t xml:space="preserve">م </w:t>
      </w:r>
      <w:r w:rsidR="00CF7489" w:rsidRPr="00BA05AA">
        <w:rPr>
          <w:b/>
          <w:bCs/>
          <w:sz w:val="28"/>
          <w:szCs w:val="28"/>
          <w:rtl/>
        </w:rPr>
        <w:t xml:space="preserve">عبد </w:t>
      </w:r>
      <w:r w:rsidR="007611D9" w:rsidRPr="00BA05AA">
        <w:rPr>
          <w:b/>
          <w:bCs/>
          <w:sz w:val="28"/>
          <w:szCs w:val="28"/>
          <w:rtl/>
        </w:rPr>
        <w:t>العزيز</w:t>
      </w:r>
    </w:p>
    <w:p w14:paraId="0550EB12" w14:textId="5DEED379" w:rsidR="007611D9" w:rsidRPr="007611D9" w:rsidRDefault="00000000" w:rsidP="007611D9">
      <w:pPr>
        <w:bidi/>
      </w:pPr>
      <w:r>
        <w:pict w14:anchorId="67880A7D">
          <v:rect id="_x0000_i1025" style="width:0;height:1.5pt" o:hralign="center" o:hrstd="t" o:hr="t" fillcolor="#a0a0a0" stroked="f"/>
        </w:pict>
      </w:r>
    </w:p>
    <w:p w14:paraId="7566F7ED" w14:textId="652D502F" w:rsidR="007611D9" w:rsidRPr="007611D9" w:rsidRDefault="007611D9" w:rsidP="00766666">
      <w:pPr>
        <w:bidi/>
      </w:pPr>
      <w:r w:rsidRPr="007611D9">
        <w:rPr>
          <w:rtl/>
        </w:rPr>
        <w:t>رئيس تنفيذي بخبرة قيادية تزيد عن 25 عامًا في مجال التأمين. ساهم في تأسيس عدة شركات ناشئة في مصر ودول مجلس التعاون الخليجي، ويمتلك سجلًا ناجحًا في تحقيق النمو المستهدف، وتعزيز الربحية، وزيادة الحصة السوقية. يتميز بقدرة استثنائية على الجمع بين الرؤية الاستراتيجية والخبرة الفنية والقدرة التشغيلية لتحقيق نتائج مالية قوية. لعب دورًا محوريًا في خفض التكاليف بشكل ملحوظ وتحقيق تحسينات ملموسة في الإيرادات والأرباح عبر إعادة الهيكلة، بناء وإدارة الفرق، القيادة الاستراتيجية، وإدارة التغيير</w:t>
      </w:r>
      <w:r w:rsidRPr="007611D9">
        <w:t>.</w:t>
      </w:r>
      <w:r w:rsidR="00766666" w:rsidRPr="00766666">
        <w:t xml:space="preserve"> </w:t>
      </w:r>
      <w:r w:rsidR="00000000">
        <w:pict w14:anchorId="69BDE19D">
          <v:rect id="_x0000_i1026" style="width:0;height:1.5pt" o:hralign="center" o:hrstd="t" o:hr="t" fillcolor="#a0a0a0" stroked="f"/>
        </w:pict>
      </w:r>
    </w:p>
    <w:p w14:paraId="0A424287" w14:textId="77777777" w:rsidR="007611D9" w:rsidRPr="007611D9" w:rsidRDefault="007611D9" w:rsidP="007611D9">
      <w:pPr>
        <w:bidi/>
        <w:rPr>
          <w:b/>
          <w:bCs/>
        </w:rPr>
      </w:pPr>
      <w:r w:rsidRPr="007611D9">
        <w:rPr>
          <w:b/>
          <w:bCs/>
          <w:rtl/>
        </w:rPr>
        <w:t>المهارات الرئيسية</w:t>
      </w:r>
    </w:p>
    <w:p w14:paraId="2AFED93C" w14:textId="6ACF7E33" w:rsidR="007611D9" w:rsidRPr="007611D9" w:rsidRDefault="007611D9" w:rsidP="00096004">
      <w:pPr>
        <w:numPr>
          <w:ilvl w:val="0"/>
          <w:numId w:val="1"/>
        </w:numPr>
        <w:bidi/>
        <w:spacing w:after="0"/>
      </w:pPr>
      <w:r w:rsidRPr="007611D9">
        <w:rPr>
          <w:rtl/>
        </w:rPr>
        <w:t xml:space="preserve">إدارة </w:t>
      </w:r>
      <w:r w:rsidR="00096004" w:rsidRPr="007611D9">
        <w:rPr>
          <w:rFonts w:hint="cs"/>
          <w:rtl/>
        </w:rPr>
        <w:t>التغيير</w:t>
      </w:r>
      <w:r w:rsidR="00096004">
        <w:rPr>
          <w:rFonts w:hint="cs"/>
          <w:rtl/>
        </w:rPr>
        <w:t xml:space="preserve"> المؤسسي</w:t>
      </w:r>
      <w:r w:rsidR="005D2B1F">
        <w:t xml:space="preserve"> </w:t>
      </w:r>
      <w:r w:rsidR="001D351B">
        <w:rPr>
          <w:rFonts w:hint="cs"/>
          <w:rtl/>
        </w:rPr>
        <w:t>(ِ</w:t>
      </w:r>
      <w:r w:rsidR="001D351B">
        <w:t>AGBS -Germany</w:t>
      </w:r>
      <w:r w:rsidR="001D351B">
        <w:rPr>
          <w:rFonts w:hint="cs"/>
          <w:rtl/>
          <w:lang w:bidi="ar-EG"/>
        </w:rPr>
        <w:t>)</w:t>
      </w:r>
    </w:p>
    <w:p w14:paraId="7DC1EC9A" w14:textId="7CE63057" w:rsidR="007611D9" w:rsidRPr="007611D9" w:rsidRDefault="007611D9" w:rsidP="00096004">
      <w:pPr>
        <w:numPr>
          <w:ilvl w:val="0"/>
          <w:numId w:val="1"/>
        </w:numPr>
        <w:bidi/>
        <w:spacing w:after="0"/>
      </w:pPr>
      <w:r w:rsidRPr="007611D9">
        <w:rPr>
          <w:rtl/>
        </w:rPr>
        <w:t xml:space="preserve">إدارة المخاطر والنمذجة </w:t>
      </w:r>
      <w:proofErr w:type="gramStart"/>
      <w:r w:rsidRPr="007611D9">
        <w:rPr>
          <w:rtl/>
        </w:rPr>
        <w:t>الرأسمالية</w:t>
      </w:r>
      <w:r w:rsidR="001D351B">
        <w:t xml:space="preserve"> </w:t>
      </w:r>
      <w:r w:rsidR="001D351B">
        <w:rPr>
          <w:rFonts w:hint="cs"/>
          <w:rtl/>
          <w:lang w:bidi="ar-EG"/>
        </w:rPr>
        <w:t xml:space="preserve"> (</w:t>
      </w:r>
      <w:proofErr w:type="gramEnd"/>
      <w:r w:rsidR="001D351B">
        <w:rPr>
          <w:lang w:bidi="ar-EG"/>
        </w:rPr>
        <w:t>Munich Re – Germany</w:t>
      </w:r>
      <w:r w:rsidR="001D351B">
        <w:rPr>
          <w:rFonts w:hint="cs"/>
          <w:rtl/>
          <w:lang w:bidi="ar-EG"/>
        </w:rPr>
        <w:t>)</w:t>
      </w:r>
    </w:p>
    <w:p w14:paraId="139EC4D6" w14:textId="77777777" w:rsidR="007611D9" w:rsidRPr="007611D9" w:rsidRDefault="007611D9" w:rsidP="00096004">
      <w:pPr>
        <w:numPr>
          <w:ilvl w:val="0"/>
          <w:numId w:val="1"/>
        </w:numPr>
        <w:bidi/>
        <w:spacing w:after="0"/>
      </w:pPr>
      <w:r w:rsidRPr="007611D9">
        <w:rPr>
          <w:rtl/>
        </w:rPr>
        <w:t>تخطيط وتوزيع الموارد</w:t>
      </w:r>
    </w:p>
    <w:p w14:paraId="4CF20701" w14:textId="6D249331" w:rsidR="007611D9" w:rsidRPr="007611D9" w:rsidRDefault="007611D9" w:rsidP="00096004">
      <w:pPr>
        <w:numPr>
          <w:ilvl w:val="0"/>
          <w:numId w:val="1"/>
        </w:numPr>
        <w:bidi/>
        <w:spacing w:after="0"/>
      </w:pPr>
      <w:r w:rsidRPr="007611D9">
        <w:rPr>
          <w:rtl/>
        </w:rPr>
        <w:t xml:space="preserve">شهادة الحزام الأسود </w:t>
      </w:r>
      <w:r>
        <w:t>-</w:t>
      </w:r>
      <w:r w:rsidRPr="007611D9">
        <w:t xml:space="preserve"> </w:t>
      </w:r>
      <w:r>
        <w:t>(</w:t>
      </w:r>
      <w:r w:rsidRPr="007611D9">
        <w:t>Six Sigma</w:t>
      </w:r>
      <w:r>
        <w:t xml:space="preserve">) </w:t>
      </w:r>
      <w:r w:rsidRPr="007611D9">
        <w:rPr>
          <w:rtl/>
        </w:rPr>
        <w:t>النمسا</w:t>
      </w:r>
    </w:p>
    <w:p w14:paraId="7C039337" w14:textId="77777777" w:rsidR="007611D9" w:rsidRPr="007611D9" w:rsidRDefault="007611D9" w:rsidP="00096004">
      <w:pPr>
        <w:numPr>
          <w:ilvl w:val="0"/>
          <w:numId w:val="1"/>
        </w:numPr>
        <w:bidi/>
        <w:spacing w:after="0"/>
      </w:pPr>
      <w:r w:rsidRPr="007611D9">
        <w:rPr>
          <w:rtl/>
        </w:rPr>
        <w:t>إعادة هندسة العمليات التجارية</w:t>
      </w:r>
    </w:p>
    <w:p w14:paraId="3033ADBA" w14:textId="77777777" w:rsidR="007611D9" w:rsidRPr="007611D9" w:rsidRDefault="007611D9" w:rsidP="00096004">
      <w:pPr>
        <w:numPr>
          <w:ilvl w:val="0"/>
          <w:numId w:val="1"/>
        </w:numPr>
        <w:bidi/>
        <w:spacing w:after="0"/>
      </w:pPr>
      <w:r w:rsidRPr="007611D9">
        <w:rPr>
          <w:rtl/>
        </w:rPr>
        <w:t>إدارة المشاريع</w:t>
      </w:r>
    </w:p>
    <w:p w14:paraId="499C7F14" w14:textId="77777777" w:rsidR="007611D9" w:rsidRPr="007611D9" w:rsidRDefault="007611D9" w:rsidP="00096004">
      <w:pPr>
        <w:numPr>
          <w:ilvl w:val="0"/>
          <w:numId w:val="1"/>
        </w:numPr>
        <w:bidi/>
        <w:spacing w:after="0"/>
      </w:pPr>
      <w:r w:rsidRPr="007611D9">
        <w:rPr>
          <w:rtl/>
        </w:rPr>
        <w:t>التميز التشغيلي</w:t>
      </w:r>
    </w:p>
    <w:p w14:paraId="13C3F92F" w14:textId="77777777" w:rsidR="007611D9" w:rsidRPr="007611D9" w:rsidRDefault="007611D9" w:rsidP="00096004">
      <w:pPr>
        <w:numPr>
          <w:ilvl w:val="0"/>
          <w:numId w:val="1"/>
        </w:numPr>
        <w:bidi/>
        <w:spacing w:after="0"/>
      </w:pPr>
      <w:r w:rsidRPr="007611D9">
        <w:rPr>
          <w:rtl/>
        </w:rPr>
        <w:t>بناء وقيادة الفرق</w:t>
      </w:r>
    </w:p>
    <w:p w14:paraId="603B4E86" w14:textId="77777777" w:rsidR="007611D9" w:rsidRPr="007611D9" w:rsidRDefault="007611D9" w:rsidP="00096004">
      <w:pPr>
        <w:numPr>
          <w:ilvl w:val="0"/>
          <w:numId w:val="1"/>
        </w:numPr>
        <w:bidi/>
        <w:spacing w:after="0"/>
      </w:pPr>
      <w:r w:rsidRPr="007611D9">
        <w:rPr>
          <w:rtl/>
        </w:rPr>
        <w:t>إعادة هيكلة الشركات</w:t>
      </w:r>
    </w:p>
    <w:p w14:paraId="5E404B56" w14:textId="77777777" w:rsidR="007611D9" w:rsidRPr="007611D9" w:rsidRDefault="007611D9" w:rsidP="00096004">
      <w:pPr>
        <w:numPr>
          <w:ilvl w:val="0"/>
          <w:numId w:val="1"/>
        </w:numPr>
        <w:bidi/>
        <w:spacing w:after="0"/>
      </w:pPr>
      <w:r w:rsidRPr="007611D9">
        <w:rPr>
          <w:rtl/>
        </w:rPr>
        <w:t>تطوير الشراكات الاستراتيجية</w:t>
      </w:r>
    </w:p>
    <w:p w14:paraId="63970838" w14:textId="77777777" w:rsidR="007611D9" w:rsidRPr="007611D9" w:rsidRDefault="007611D9" w:rsidP="00096004">
      <w:pPr>
        <w:numPr>
          <w:ilvl w:val="0"/>
          <w:numId w:val="1"/>
        </w:numPr>
        <w:bidi/>
        <w:spacing w:after="0"/>
      </w:pPr>
      <w:r w:rsidRPr="007611D9">
        <w:rPr>
          <w:rtl/>
        </w:rPr>
        <w:t>التخطيط الاستراتيجي وتطوير الأعمال</w:t>
      </w:r>
    </w:p>
    <w:p w14:paraId="34232E5A" w14:textId="77777777" w:rsidR="007611D9" w:rsidRPr="007611D9" w:rsidRDefault="00000000" w:rsidP="007611D9">
      <w:pPr>
        <w:bidi/>
      </w:pPr>
      <w:r>
        <w:pict w14:anchorId="56E4CCA4">
          <v:rect id="_x0000_i1027" style="width:0;height:1.5pt" o:hralign="center" o:hrstd="t" o:hr="t" fillcolor="#a0a0a0" stroked="f"/>
        </w:pict>
      </w:r>
    </w:p>
    <w:p w14:paraId="44B5FCA6" w14:textId="77777777" w:rsidR="007611D9" w:rsidRPr="007611D9" w:rsidRDefault="007611D9" w:rsidP="007611D9">
      <w:pPr>
        <w:bidi/>
        <w:rPr>
          <w:b/>
          <w:bCs/>
        </w:rPr>
      </w:pPr>
      <w:r w:rsidRPr="007611D9">
        <w:rPr>
          <w:b/>
          <w:bCs/>
          <w:rtl/>
        </w:rPr>
        <w:t>المناصب واللجان الاستشارية</w:t>
      </w:r>
    </w:p>
    <w:p w14:paraId="14AA50DD" w14:textId="4934FD96" w:rsidR="007611D9" w:rsidRPr="007611D9" w:rsidRDefault="007611D9" w:rsidP="00096004">
      <w:pPr>
        <w:numPr>
          <w:ilvl w:val="0"/>
          <w:numId w:val="2"/>
        </w:numPr>
        <w:bidi/>
        <w:spacing w:after="0"/>
      </w:pPr>
      <w:r w:rsidRPr="007611D9">
        <w:rPr>
          <w:rtl/>
        </w:rPr>
        <w:t>مستشار رئيس الهيئة العامة للرقابة المالية</w:t>
      </w:r>
    </w:p>
    <w:p w14:paraId="64ECD89E" w14:textId="25D9789C" w:rsidR="007611D9" w:rsidRPr="007611D9" w:rsidRDefault="007611D9" w:rsidP="00096004">
      <w:pPr>
        <w:numPr>
          <w:ilvl w:val="0"/>
          <w:numId w:val="2"/>
        </w:numPr>
        <w:bidi/>
        <w:spacing w:after="0"/>
      </w:pPr>
      <w:r w:rsidRPr="007611D9">
        <w:rPr>
          <w:rtl/>
        </w:rPr>
        <w:t>عضو مجلس إدارة غير تنفيذي، بنك</w:t>
      </w:r>
      <w:r w:rsidRPr="007611D9">
        <w:t xml:space="preserve"> SAIB – </w:t>
      </w:r>
      <w:r w:rsidRPr="007611D9">
        <w:rPr>
          <w:rtl/>
        </w:rPr>
        <w:t xml:space="preserve">مصر </w:t>
      </w:r>
    </w:p>
    <w:p w14:paraId="6D3F1749" w14:textId="39F3C7D6" w:rsidR="007611D9" w:rsidRPr="007611D9" w:rsidRDefault="007611D9" w:rsidP="00096004">
      <w:pPr>
        <w:numPr>
          <w:ilvl w:val="0"/>
          <w:numId w:val="2"/>
        </w:numPr>
        <w:bidi/>
        <w:spacing w:after="0"/>
      </w:pPr>
      <w:r w:rsidRPr="007611D9">
        <w:rPr>
          <w:rtl/>
        </w:rPr>
        <w:t>عضو لجنة الخبراء بالهيئة القومية للتأمين الاجتماعي</w:t>
      </w:r>
    </w:p>
    <w:p w14:paraId="286D4F52" w14:textId="266902F5" w:rsidR="007611D9" w:rsidRPr="007611D9" w:rsidRDefault="007611D9" w:rsidP="00096004">
      <w:pPr>
        <w:numPr>
          <w:ilvl w:val="0"/>
          <w:numId w:val="2"/>
        </w:numPr>
        <w:bidi/>
        <w:spacing w:after="0" w:line="240" w:lineRule="auto"/>
      </w:pPr>
      <w:r w:rsidRPr="007611D9">
        <w:rPr>
          <w:rtl/>
        </w:rPr>
        <w:t>عضو لجنة التأمين بالهيئة العامة للتأمين الصحي الشامل</w:t>
      </w:r>
    </w:p>
    <w:p w14:paraId="0488C3C0" w14:textId="77777777" w:rsidR="007611D9" w:rsidRPr="007611D9" w:rsidRDefault="00000000" w:rsidP="007611D9">
      <w:pPr>
        <w:bidi/>
      </w:pPr>
      <w:r>
        <w:pict w14:anchorId="228BA272">
          <v:rect id="_x0000_i1028" style="width:0;height:1.5pt" o:hralign="center" o:hrstd="t" o:hr="t" fillcolor="#a0a0a0" stroked="f"/>
        </w:pict>
      </w:r>
    </w:p>
    <w:p w14:paraId="0DCA50C1" w14:textId="77777777" w:rsidR="007611D9" w:rsidRPr="007611D9" w:rsidRDefault="007611D9" w:rsidP="007611D9">
      <w:pPr>
        <w:bidi/>
        <w:rPr>
          <w:b/>
          <w:bCs/>
        </w:rPr>
      </w:pPr>
      <w:r w:rsidRPr="007611D9">
        <w:rPr>
          <w:b/>
          <w:bCs/>
          <w:rtl/>
        </w:rPr>
        <w:t>الخبرات العملية</w:t>
      </w:r>
    </w:p>
    <w:p w14:paraId="2588B1D7" w14:textId="5824E87F" w:rsidR="007611D9" w:rsidRDefault="007611D9" w:rsidP="007611D9">
      <w:pPr>
        <w:bidi/>
        <w:rPr>
          <w:b/>
          <w:bCs/>
          <w:rtl/>
        </w:rPr>
      </w:pPr>
      <w:r w:rsidRPr="007611D9">
        <w:rPr>
          <w:b/>
          <w:bCs/>
          <w:rtl/>
        </w:rPr>
        <w:t xml:space="preserve">شركة مصر لتأمينات الحياة </w:t>
      </w:r>
    </w:p>
    <w:p w14:paraId="5B6AB1B4" w14:textId="25A325C1" w:rsidR="002E5914" w:rsidRPr="002E5914" w:rsidRDefault="002E5914" w:rsidP="00EC2033">
      <w:pPr>
        <w:numPr>
          <w:ilvl w:val="0"/>
          <w:numId w:val="3"/>
        </w:numPr>
        <w:bidi/>
        <w:spacing w:after="0"/>
      </w:pPr>
      <w:r w:rsidRPr="007611D9">
        <w:rPr>
          <w:rtl/>
        </w:rPr>
        <w:t>الرئيس التنفيذي والعضو المنتدب (2021 – حتى يونيو 2025)</w:t>
      </w:r>
    </w:p>
    <w:p w14:paraId="081B41A7" w14:textId="19947933" w:rsidR="007611D9" w:rsidRPr="007611D9" w:rsidRDefault="007611D9" w:rsidP="00EC2033">
      <w:pPr>
        <w:numPr>
          <w:ilvl w:val="0"/>
          <w:numId w:val="3"/>
        </w:numPr>
        <w:bidi/>
        <w:spacing w:after="0"/>
      </w:pPr>
      <w:r w:rsidRPr="007611D9">
        <w:rPr>
          <w:rtl/>
        </w:rPr>
        <w:t>رئيس مجلس الإدارة والعضو المنتدب</w:t>
      </w:r>
      <w:r w:rsidRPr="007611D9">
        <w:t xml:space="preserve"> (2016 – 2021)</w:t>
      </w:r>
      <w:r>
        <w:t xml:space="preserve"> </w:t>
      </w:r>
    </w:p>
    <w:p w14:paraId="70CAA70B" w14:textId="11E5532E" w:rsidR="007611D9" w:rsidRDefault="002E5914" w:rsidP="00EC2033">
      <w:pPr>
        <w:numPr>
          <w:ilvl w:val="0"/>
          <w:numId w:val="3"/>
        </w:numPr>
        <w:bidi/>
        <w:spacing w:after="0"/>
      </w:pPr>
      <w:r>
        <w:rPr>
          <w:rFonts w:hint="cs"/>
          <w:rtl/>
        </w:rPr>
        <w:t>نائب رئيس</w:t>
      </w:r>
      <w:r w:rsidR="007611D9" w:rsidRPr="007611D9">
        <w:rPr>
          <w:rtl/>
        </w:rPr>
        <w:t xml:space="preserve"> مجلس </w:t>
      </w:r>
      <w:r>
        <w:rPr>
          <w:rFonts w:hint="cs"/>
          <w:rtl/>
        </w:rPr>
        <w:t>ال</w:t>
      </w:r>
      <w:r w:rsidR="007611D9" w:rsidRPr="007611D9">
        <w:rPr>
          <w:rtl/>
        </w:rPr>
        <w:t>إدارة للشؤون الفنية</w:t>
      </w:r>
      <w:r w:rsidR="007611D9" w:rsidRPr="007611D9">
        <w:t xml:space="preserve"> (2014 – 2015)</w:t>
      </w:r>
    </w:p>
    <w:p w14:paraId="04C2D256" w14:textId="77777777" w:rsidR="00EC2033" w:rsidRPr="007611D9" w:rsidRDefault="00EC2033" w:rsidP="00EC2033">
      <w:pPr>
        <w:tabs>
          <w:tab w:val="num" w:pos="720"/>
        </w:tabs>
        <w:bidi/>
        <w:spacing w:after="0"/>
        <w:ind w:left="720"/>
      </w:pPr>
    </w:p>
    <w:p w14:paraId="29773EFE" w14:textId="77777777" w:rsidR="007611D9" w:rsidRPr="007611D9" w:rsidRDefault="007611D9" w:rsidP="007611D9">
      <w:pPr>
        <w:bidi/>
      </w:pPr>
      <w:r w:rsidRPr="007611D9">
        <w:rPr>
          <w:b/>
          <w:bCs/>
          <w:rtl/>
        </w:rPr>
        <w:t>شركة الراجحي تكافل – الرياض، السعودية</w:t>
      </w:r>
    </w:p>
    <w:p w14:paraId="5EB862A0" w14:textId="1B555FA3" w:rsidR="007611D9" w:rsidRPr="007611D9" w:rsidRDefault="007611D9" w:rsidP="00EC2033">
      <w:pPr>
        <w:numPr>
          <w:ilvl w:val="0"/>
          <w:numId w:val="5"/>
        </w:numPr>
        <w:bidi/>
        <w:spacing w:after="0"/>
      </w:pPr>
      <w:r w:rsidRPr="007611D9">
        <w:rPr>
          <w:rtl/>
        </w:rPr>
        <w:lastRenderedPageBreak/>
        <w:t>الرئيس الفني</w:t>
      </w:r>
      <w:r w:rsidRPr="007611D9">
        <w:t xml:space="preserve"> (2012 – 2014)</w:t>
      </w:r>
    </w:p>
    <w:p w14:paraId="335DDEDB" w14:textId="77777777" w:rsidR="00EC2033" w:rsidRPr="00EC2033" w:rsidRDefault="007611D9" w:rsidP="007611D9">
      <w:pPr>
        <w:numPr>
          <w:ilvl w:val="0"/>
          <w:numId w:val="5"/>
        </w:numPr>
        <w:bidi/>
        <w:spacing w:after="0"/>
      </w:pPr>
      <w:r w:rsidRPr="007611D9">
        <w:rPr>
          <w:rtl/>
        </w:rPr>
        <w:t xml:space="preserve">رئيس </w:t>
      </w:r>
      <w:r w:rsidR="00096004">
        <w:rPr>
          <w:rFonts w:hint="cs"/>
          <w:rtl/>
        </w:rPr>
        <w:t>تأمينات</w:t>
      </w:r>
      <w:r w:rsidRPr="007611D9">
        <w:rPr>
          <w:rtl/>
        </w:rPr>
        <w:t xml:space="preserve"> الحياة</w:t>
      </w:r>
      <w:r w:rsidRPr="007611D9">
        <w:t xml:space="preserve"> (2009 – 2012)</w:t>
      </w:r>
      <w:r w:rsidR="00096004" w:rsidRPr="007611D9">
        <w:t xml:space="preserve"> </w:t>
      </w:r>
      <w:r w:rsidRPr="007611D9">
        <w:br/>
      </w:r>
    </w:p>
    <w:p w14:paraId="0C8A8854" w14:textId="7DA4B919" w:rsidR="007611D9" w:rsidRDefault="007611D9" w:rsidP="00EC2033">
      <w:pPr>
        <w:bidi/>
        <w:spacing w:after="0"/>
        <w:rPr>
          <w:b/>
          <w:bCs/>
        </w:rPr>
      </w:pPr>
      <w:r w:rsidRPr="00EC2033">
        <w:rPr>
          <w:b/>
          <w:bCs/>
          <w:rtl/>
        </w:rPr>
        <w:t xml:space="preserve">شركة </w:t>
      </w:r>
      <w:proofErr w:type="spellStart"/>
      <w:r w:rsidRPr="00EC2033">
        <w:rPr>
          <w:b/>
          <w:bCs/>
          <w:rtl/>
        </w:rPr>
        <w:t>أليانز</w:t>
      </w:r>
      <w:proofErr w:type="spellEnd"/>
      <w:r w:rsidRPr="00EC2033">
        <w:rPr>
          <w:b/>
          <w:bCs/>
          <w:rtl/>
        </w:rPr>
        <w:t xml:space="preserve"> لتأمينات الحياة </w:t>
      </w:r>
    </w:p>
    <w:p w14:paraId="524EF359" w14:textId="77777777" w:rsidR="00EC2033" w:rsidRPr="00EC2033" w:rsidRDefault="00EC2033" w:rsidP="00EC2033">
      <w:pPr>
        <w:bidi/>
        <w:spacing w:after="0"/>
        <w:rPr>
          <w:sz w:val="4"/>
          <w:szCs w:val="4"/>
        </w:rPr>
      </w:pPr>
    </w:p>
    <w:p w14:paraId="399CAFAB" w14:textId="00E5A47F" w:rsidR="007611D9" w:rsidRPr="007611D9" w:rsidRDefault="007611D9" w:rsidP="00096004">
      <w:pPr>
        <w:numPr>
          <w:ilvl w:val="0"/>
          <w:numId w:val="6"/>
        </w:numPr>
        <w:bidi/>
        <w:spacing w:after="0"/>
      </w:pPr>
      <w:r w:rsidRPr="007611D9">
        <w:rPr>
          <w:rtl/>
        </w:rPr>
        <w:t>رئيس العمليات</w:t>
      </w:r>
      <w:r w:rsidRPr="007611D9">
        <w:t xml:space="preserve"> (2007 – 2009)</w:t>
      </w:r>
    </w:p>
    <w:p w14:paraId="4B0C12F4" w14:textId="56BC8284" w:rsidR="007611D9" w:rsidRPr="007611D9" w:rsidRDefault="00096004" w:rsidP="00096004">
      <w:pPr>
        <w:numPr>
          <w:ilvl w:val="0"/>
          <w:numId w:val="6"/>
        </w:numPr>
        <w:bidi/>
        <w:spacing w:after="0"/>
      </w:pPr>
      <w:r>
        <w:rPr>
          <w:rFonts w:hint="cs"/>
          <w:rtl/>
        </w:rPr>
        <w:t>ال</w:t>
      </w:r>
      <w:r w:rsidRPr="007611D9">
        <w:rPr>
          <w:rtl/>
        </w:rPr>
        <w:t xml:space="preserve">مدير الفني </w:t>
      </w:r>
      <w:r w:rsidR="007611D9" w:rsidRPr="007611D9">
        <w:rPr>
          <w:rtl/>
        </w:rPr>
        <w:t>ومدير التنظيم</w:t>
      </w:r>
      <w:r w:rsidR="007611D9" w:rsidRPr="007611D9">
        <w:t xml:space="preserve"> (2006 – 2007)</w:t>
      </w:r>
      <w:r>
        <w:rPr>
          <w:rFonts w:hint="cs"/>
          <w:rtl/>
        </w:rPr>
        <w:t xml:space="preserve"> </w:t>
      </w:r>
    </w:p>
    <w:p w14:paraId="294000B2" w14:textId="44ED88E0" w:rsidR="007611D9" w:rsidRDefault="00096004" w:rsidP="00096004">
      <w:pPr>
        <w:numPr>
          <w:ilvl w:val="0"/>
          <w:numId w:val="6"/>
        </w:numPr>
        <w:bidi/>
        <w:spacing w:after="0"/>
      </w:pPr>
      <w:r>
        <w:rPr>
          <w:rFonts w:hint="cs"/>
          <w:rtl/>
        </w:rPr>
        <w:t>ال</w:t>
      </w:r>
      <w:r w:rsidR="007611D9" w:rsidRPr="007611D9">
        <w:rPr>
          <w:rtl/>
        </w:rPr>
        <w:t xml:space="preserve">مدير الفني </w:t>
      </w:r>
      <w:r w:rsidR="007611D9" w:rsidRPr="007611D9">
        <w:t>(2004 – 2006)</w:t>
      </w:r>
    </w:p>
    <w:p w14:paraId="40D68629" w14:textId="77777777" w:rsidR="00096004" w:rsidRPr="00096004" w:rsidRDefault="00096004" w:rsidP="00096004">
      <w:pPr>
        <w:bidi/>
        <w:spacing w:after="0"/>
        <w:ind w:left="720"/>
        <w:rPr>
          <w:sz w:val="6"/>
          <w:szCs w:val="6"/>
        </w:rPr>
      </w:pPr>
    </w:p>
    <w:p w14:paraId="7624BCA0" w14:textId="166A192E" w:rsidR="007611D9" w:rsidRPr="007611D9" w:rsidRDefault="007611D9" w:rsidP="007611D9">
      <w:pPr>
        <w:bidi/>
      </w:pPr>
      <w:r w:rsidRPr="007611D9">
        <w:rPr>
          <w:b/>
          <w:bCs/>
          <w:rtl/>
        </w:rPr>
        <w:t xml:space="preserve">شركة </w:t>
      </w:r>
      <w:proofErr w:type="spellStart"/>
      <w:r w:rsidRPr="007611D9">
        <w:rPr>
          <w:b/>
          <w:bCs/>
          <w:rtl/>
        </w:rPr>
        <w:t>سيديكو</w:t>
      </w:r>
      <w:proofErr w:type="spellEnd"/>
      <w:r w:rsidRPr="007611D9">
        <w:rPr>
          <w:b/>
          <w:bCs/>
          <w:rtl/>
        </w:rPr>
        <w:t xml:space="preserve"> للأدوية </w:t>
      </w:r>
    </w:p>
    <w:p w14:paraId="04D51893" w14:textId="77FC1E75" w:rsidR="007611D9" w:rsidRPr="007611D9" w:rsidRDefault="007611D9" w:rsidP="001D351B">
      <w:pPr>
        <w:numPr>
          <w:ilvl w:val="0"/>
          <w:numId w:val="7"/>
        </w:numPr>
        <w:bidi/>
      </w:pPr>
      <w:r w:rsidRPr="007611D9">
        <w:rPr>
          <w:rtl/>
        </w:rPr>
        <w:t xml:space="preserve">مساعد مدير </w:t>
      </w:r>
      <w:proofErr w:type="gramStart"/>
      <w:r w:rsidRPr="007611D9">
        <w:rPr>
          <w:rtl/>
        </w:rPr>
        <w:t>منتجات</w:t>
      </w:r>
      <w:r w:rsidRPr="007611D9">
        <w:t xml:space="preserve">  (</w:t>
      </w:r>
      <w:proofErr w:type="gramEnd"/>
      <w:r w:rsidRPr="007611D9">
        <w:t>199</w:t>
      </w:r>
      <w:r w:rsidR="00BA05AA">
        <w:t>8</w:t>
      </w:r>
      <w:r w:rsidRPr="007611D9">
        <w:t xml:space="preserve"> – 2001)</w:t>
      </w:r>
    </w:p>
    <w:p w14:paraId="7E1C7B31" w14:textId="77777777" w:rsidR="007611D9" w:rsidRPr="007611D9" w:rsidRDefault="00000000" w:rsidP="007611D9">
      <w:pPr>
        <w:bidi/>
      </w:pPr>
      <w:r>
        <w:pict w14:anchorId="61E3B459">
          <v:rect id="_x0000_i1029" style="width:0;height:1.5pt" o:hralign="center" o:hrstd="t" o:hr="t" fillcolor="#a0a0a0" stroked="f"/>
        </w:pict>
      </w:r>
    </w:p>
    <w:p w14:paraId="25AF050F" w14:textId="3FA7FD4A" w:rsidR="007611D9" w:rsidRPr="007611D9" w:rsidRDefault="007611D9" w:rsidP="007611D9">
      <w:pPr>
        <w:bidi/>
        <w:rPr>
          <w:b/>
          <w:bCs/>
        </w:rPr>
      </w:pPr>
      <w:r>
        <w:rPr>
          <w:rFonts w:hint="cs"/>
          <w:b/>
          <w:bCs/>
          <w:rtl/>
        </w:rPr>
        <w:t>الم</w:t>
      </w:r>
      <w:r w:rsidR="00096004">
        <w:rPr>
          <w:rFonts w:hint="cs"/>
          <w:b/>
          <w:bCs/>
          <w:rtl/>
        </w:rPr>
        <w:t>ؤهلات العلمية</w:t>
      </w:r>
    </w:p>
    <w:p w14:paraId="4661C679" w14:textId="79018551" w:rsidR="007611D9" w:rsidRPr="007611D9" w:rsidRDefault="007611D9" w:rsidP="00EC2033">
      <w:pPr>
        <w:numPr>
          <w:ilvl w:val="0"/>
          <w:numId w:val="9"/>
        </w:numPr>
        <w:bidi/>
        <w:spacing w:after="0"/>
      </w:pPr>
      <w:r w:rsidRPr="007611D9">
        <w:rPr>
          <w:rtl/>
        </w:rPr>
        <w:t>بكالوريوس الطب والجراحة – كلية الطب، جامعة عين شمس</w:t>
      </w:r>
      <w:r w:rsidRPr="007611D9">
        <w:t xml:space="preserve"> (1994)</w:t>
      </w:r>
      <w:r w:rsidR="00EC2033">
        <w:t xml:space="preserve"> </w:t>
      </w:r>
    </w:p>
    <w:p w14:paraId="3007E860" w14:textId="117EE211" w:rsidR="007611D9" w:rsidRPr="007611D9" w:rsidRDefault="007611D9" w:rsidP="00EC2033">
      <w:pPr>
        <w:numPr>
          <w:ilvl w:val="0"/>
          <w:numId w:val="9"/>
        </w:numPr>
        <w:bidi/>
        <w:spacing w:after="0"/>
      </w:pPr>
      <w:r w:rsidRPr="007611D9">
        <w:rPr>
          <w:rtl/>
        </w:rPr>
        <w:t>شهادة</w:t>
      </w:r>
      <w:r w:rsidR="00EC2033">
        <w:t xml:space="preserve"> -USMLE</w:t>
      </w:r>
      <w:r w:rsidRPr="007611D9">
        <w:t xml:space="preserve"> </w:t>
      </w:r>
      <w:r w:rsidRPr="007611D9">
        <w:rPr>
          <w:rtl/>
        </w:rPr>
        <w:t>الولايات المتحدة الأمريكية</w:t>
      </w:r>
      <w:r w:rsidRPr="007611D9">
        <w:t xml:space="preserve"> (1998)</w:t>
      </w:r>
    </w:p>
    <w:p w14:paraId="3A6A6B3D" w14:textId="09B0BAA5" w:rsidR="007611D9" w:rsidRPr="007611D9" w:rsidRDefault="007611D9" w:rsidP="00EC2033">
      <w:pPr>
        <w:numPr>
          <w:ilvl w:val="0"/>
          <w:numId w:val="9"/>
        </w:numPr>
        <w:bidi/>
        <w:spacing w:after="0"/>
      </w:pPr>
      <w:r w:rsidRPr="007611D9">
        <w:rPr>
          <w:rtl/>
        </w:rPr>
        <w:t>اجتياز اختبارات الترخيص الطبي الأمريكية – الولايات المتحدة الأمريكية</w:t>
      </w:r>
      <w:r w:rsidR="00766666">
        <w:rPr>
          <w:rFonts w:hint="cs"/>
          <w:rtl/>
        </w:rPr>
        <w:t xml:space="preserve"> </w:t>
      </w:r>
      <w:r w:rsidR="00766666">
        <w:t>(ECFMG Certificate)</w:t>
      </w:r>
      <w:r w:rsidR="005D2B1F">
        <w:rPr>
          <w:rFonts w:hint="cs"/>
          <w:rtl/>
        </w:rPr>
        <w:t xml:space="preserve"> </w:t>
      </w:r>
      <w:r w:rsidR="005D2B1F">
        <w:rPr>
          <w:rtl/>
        </w:rPr>
        <w:t>–</w:t>
      </w:r>
      <w:r w:rsidR="005D2B1F">
        <w:rPr>
          <w:rFonts w:hint="cs"/>
          <w:rtl/>
        </w:rPr>
        <w:t xml:space="preserve"> </w:t>
      </w:r>
      <w:r w:rsidR="005D2B1F">
        <w:t>(1999)</w:t>
      </w:r>
    </w:p>
    <w:p w14:paraId="1FA0DE20" w14:textId="56284201" w:rsidR="007611D9" w:rsidRPr="007611D9" w:rsidRDefault="007611D9" w:rsidP="007611D9">
      <w:pPr>
        <w:bidi/>
      </w:pPr>
    </w:p>
    <w:p w14:paraId="797638BB" w14:textId="77777777" w:rsidR="007611D9" w:rsidRPr="007611D9" w:rsidRDefault="007611D9" w:rsidP="007611D9">
      <w:pPr>
        <w:bidi/>
        <w:rPr>
          <w:b/>
          <w:bCs/>
        </w:rPr>
      </w:pPr>
      <w:r w:rsidRPr="007611D9">
        <w:rPr>
          <w:b/>
          <w:bCs/>
          <w:rtl/>
        </w:rPr>
        <w:t>التدريب المهني</w:t>
      </w:r>
    </w:p>
    <w:p w14:paraId="476B463C" w14:textId="0CA4DF92" w:rsidR="007611D9" w:rsidRPr="007611D9" w:rsidRDefault="007611D9" w:rsidP="00EC2033">
      <w:pPr>
        <w:numPr>
          <w:ilvl w:val="0"/>
          <w:numId w:val="10"/>
        </w:numPr>
        <w:bidi/>
        <w:spacing w:after="0"/>
      </w:pPr>
      <w:r w:rsidRPr="007611D9">
        <w:rPr>
          <w:rtl/>
        </w:rPr>
        <w:t>التأمين على الحياة والعجز – معهد التأمين القانوني، المملكة المتحدة</w:t>
      </w:r>
      <w:r w:rsidRPr="007611D9">
        <w:t xml:space="preserve"> (2003)</w:t>
      </w:r>
    </w:p>
    <w:p w14:paraId="79723FA3" w14:textId="22BAC8E2" w:rsidR="007611D9" w:rsidRPr="007611D9" w:rsidRDefault="007611D9" w:rsidP="00EC2033">
      <w:pPr>
        <w:numPr>
          <w:ilvl w:val="0"/>
          <w:numId w:val="10"/>
        </w:numPr>
        <w:bidi/>
        <w:spacing w:after="0"/>
      </w:pPr>
      <w:r w:rsidRPr="007611D9">
        <w:rPr>
          <w:rtl/>
        </w:rPr>
        <w:t>شهادة الحزام الأسود في</w:t>
      </w:r>
      <w:r w:rsidRPr="007611D9">
        <w:t xml:space="preserve"> Six Sigma –</w:t>
      </w:r>
      <w:r w:rsidR="00766666">
        <w:rPr>
          <w:rFonts w:hint="cs"/>
          <w:rtl/>
        </w:rPr>
        <w:t>-</w:t>
      </w:r>
      <w:r w:rsidRPr="007611D9">
        <w:rPr>
          <w:rtl/>
        </w:rPr>
        <w:t>النمسا</w:t>
      </w:r>
      <w:r w:rsidRPr="007611D9">
        <w:t xml:space="preserve"> (2006)</w:t>
      </w:r>
    </w:p>
    <w:p w14:paraId="2F005A3C" w14:textId="58E4CE9F" w:rsidR="007611D9" w:rsidRPr="007611D9" w:rsidRDefault="007611D9" w:rsidP="00EC2033">
      <w:pPr>
        <w:numPr>
          <w:ilvl w:val="0"/>
          <w:numId w:val="10"/>
        </w:numPr>
        <w:bidi/>
        <w:spacing w:after="0"/>
      </w:pPr>
      <w:r w:rsidRPr="007611D9">
        <w:rPr>
          <w:rtl/>
        </w:rPr>
        <w:t xml:space="preserve">إدارة </w:t>
      </w:r>
      <w:r w:rsidR="00CF7489" w:rsidRPr="007611D9">
        <w:rPr>
          <w:rFonts w:hint="cs"/>
          <w:rtl/>
        </w:rPr>
        <w:t>التغيير</w:t>
      </w:r>
      <w:r w:rsidR="00CF7489">
        <w:rPr>
          <w:rFonts w:hint="cs"/>
          <w:rtl/>
          <w:lang w:bidi="ar-EG"/>
        </w:rPr>
        <w:t>المؤسسي</w:t>
      </w:r>
      <w:r w:rsidR="00CF7489" w:rsidRPr="007611D9">
        <w:rPr>
          <w:rFonts w:hint="cs"/>
          <w:rtl/>
        </w:rPr>
        <w:t xml:space="preserve"> </w:t>
      </w:r>
      <w:r w:rsidR="00CF7489">
        <w:t>–</w:t>
      </w:r>
      <w:r w:rsidRPr="007611D9">
        <w:t xml:space="preserve"> AGBS</w:t>
      </w:r>
      <w:r w:rsidRPr="007611D9">
        <w:rPr>
          <w:rtl/>
        </w:rPr>
        <w:t>ميونيخ</w:t>
      </w:r>
      <w:r w:rsidR="005D2B1F">
        <w:t>-</w:t>
      </w:r>
      <w:r w:rsidRPr="007611D9">
        <w:rPr>
          <w:rtl/>
        </w:rPr>
        <w:t xml:space="preserve"> </w:t>
      </w:r>
      <w:r w:rsidR="005D2B1F">
        <w:rPr>
          <w:rFonts w:hint="cs"/>
          <w:rtl/>
        </w:rPr>
        <w:t>ا</w:t>
      </w:r>
      <w:r w:rsidRPr="007611D9">
        <w:rPr>
          <w:rtl/>
        </w:rPr>
        <w:t>لمانيا</w:t>
      </w:r>
      <w:r w:rsidRPr="007611D9">
        <w:t xml:space="preserve"> (2005)</w:t>
      </w:r>
    </w:p>
    <w:p w14:paraId="3B9279C0" w14:textId="525682D3" w:rsidR="007611D9" w:rsidRPr="007611D9" w:rsidRDefault="007611D9" w:rsidP="00EC2033">
      <w:pPr>
        <w:numPr>
          <w:ilvl w:val="0"/>
          <w:numId w:val="10"/>
        </w:numPr>
        <w:bidi/>
        <w:spacing w:after="0"/>
      </w:pPr>
      <w:r w:rsidRPr="007611D9">
        <w:rPr>
          <w:rtl/>
        </w:rPr>
        <w:t>التميز التشغيلي</w:t>
      </w:r>
      <w:r w:rsidRPr="007611D9">
        <w:t xml:space="preserve"> – </w:t>
      </w:r>
      <w:r w:rsidR="00CF7489" w:rsidRPr="007611D9">
        <w:t>AGBS</w:t>
      </w:r>
      <w:r w:rsidR="00CF7489">
        <w:t xml:space="preserve"> </w:t>
      </w:r>
      <w:r w:rsidR="00CF7489" w:rsidRPr="007611D9">
        <w:rPr>
          <w:rFonts w:hint="cs"/>
          <w:rtl/>
        </w:rPr>
        <w:t>ميونيخ</w:t>
      </w:r>
      <w:r w:rsidR="00EC2033">
        <w:t>-</w:t>
      </w:r>
      <w:r w:rsidR="005D2B1F">
        <w:rPr>
          <w:rFonts w:hint="cs"/>
          <w:rtl/>
        </w:rPr>
        <w:t>ا</w:t>
      </w:r>
      <w:r w:rsidRPr="007611D9">
        <w:rPr>
          <w:rtl/>
        </w:rPr>
        <w:t>لمانيا</w:t>
      </w:r>
      <w:r w:rsidRPr="007611D9">
        <w:t xml:space="preserve"> (2006)</w:t>
      </w:r>
      <w:r w:rsidR="00EC2033">
        <w:t xml:space="preserve"> </w:t>
      </w:r>
    </w:p>
    <w:p w14:paraId="7D559F4D" w14:textId="5D4A12BA" w:rsidR="007611D9" w:rsidRPr="007611D9" w:rsidRDefault="007611D9" w:rsidP="00EC2033">
      <w:pPr>
        <w:numPr>
          <w:ilvl w:val="0"/>
          <w:numId w:val="10"/>
        </w:numPr>
        <w:bidi/>
        <w:spacing w:after="0"/>
      </w:pPr>
      <w:r w:rsidRPr="007611D9">
        <w:rPr>
          <w:rtl/>
        </w:rPr>
        <w:t xml:space="preserve">التدريب على الاكتتاب </w:t>
      </w:r>
      <w:r w:rsidR="005D2B1F">
        <w:rPr>
          <w:rFonts w:hint="cs"/>
          <w:rtl/>
          <w:lang w:bidi="ar-EG"/>
        </w:rPr>
        <w:t>الطب</w:t>
      </w:r>
      <w:r w:rsidR="005D2B1F" w:rsidRPr="007611D9">
        <w:rPr>
          <w:rtl/>
        </w:rPr>
        <w:t>ي</w:t>
      </w:r>
      <w:r w:rsidRPr="007611D9">
        <w:rPr>
          <w:rtl/>
        </w:rPr>
        <w:t>/ الاكتتاب المالي</w:t>
      </w:r>
      <w:r w:rsidRPr="007611D9">
        <w:t xml:space="preserve"> – Munich</w:t>
      </w:r>
      <w:r w:rsidR="005D2B1F">
        <w:t>-</w:t>
      </w:r>
      <w:r w:rsidR="005D2B1F" w:rsidRPr="007611D9">
        <w:t>Re</w:t>
      </w:r>
      <w:r w:rsidR="005D2B1F">
        <w:t xml:space="preserve"> </w:t>
      </w:r>
      <w:r w:rsidR="005D2B1F" w:rsidRPr="007611D9">
        <w:rPr>
          <w:rFonts w:hint="cs"/>
          <w:rtl/>
        </w:rPr>
        <w:t>المانيا</w:t>
      </w:r>
      <w:r w:rsidR="00EC2033">
        <w:t xml:space="preserve"> </w:t>
      </w:r>
      <w:r w:rsidR="00EC2033">
        <w:rPr>
          <w:rFonts w:hint="cs"/>
          <w:rtl/>
        </w:rPr>
        <w:t>(2001,2002,2003</w:t>
      </w:r>
      <w:r w:rsidR="00EC2033">
        <w:t>(</w:t>
      </w:r>
    </w:p>
    <w:p w14:paraId="58CD4408" w14:textId="7F54C815" w:rsidR="007611D9" w:rsidRPr="007611D9" w:rsidRDefault="007611D9" w:rsidP="00EC2033">
      <w:pPr>
        <w:numPr>
          <w:ilvl w:val="0"/>
          <w:numId w:val="10"/>
        </w:numPr>
        <w:bidi/>
        <w:spacing w:after="0"/>
      </w:pPr>
      <w:r w:rsidRPr="007611D9">
        <w:rPr>
          <w:rtl/>
        </w:rPr>
        <w:t>أدوات التمويل الإسلامي – مصر</w:t>
      </w:r>
      <w:r w:rsidRPr="007611D9">
        <w:t xml:space="preserve"> (2008)</w:t>
      </w:r>
    </w:p>
    <w:p w14:paraId="55B7D8DF" w14:textId="22F4CE04" w:rsidR="007611D9" w:rsidRPr="007611D9" w:rsidRDefault="007611D9" w:rsidP="00EC2033">
      <w:pPr>
        <w:numPr>
          <w:ilvl w:val="0"/>
          <w:numId w:val="10"/>
        </w:numPr>
        <w:bidi/>
        <w:spacing w:after="0"/>
      </w:pPr>
      <w:r w:rsidRPr="007611D9">
        <w:rPr>
          <w:rtl/>
        </w:rPr>
        <w:t>إدارة المخاطر</w:t>
      </w:r>
      <w:r w:rsidRPr="007611D9">
        <w:t xml:space="preserve"> / Solvency II – Munich </w:t>
      </w:r>
      <w:r w:rsidR="00766666" w:rsidRPr="007611D9">
        <w:t>Re</w:t>
      </w:r>
      <w:r w:rsidR="00766666">
        <w:t xml:space="preserve"> </w:t>
      </w:r>
      <w:r w:rsidR="00766666" w:rsidRPr="007611D9">
        <w:rPr>
          <w:rFonts w:hint="cs"/>
          <w:rtl/>
        </w:rPr>
        <w:t>ميونيخ</w:t>
      </w:r>
      <w:r w:rsidRPr="007611D9">
        <w:rPr>
          <w:rtl/>
        </w:rPr>
        <w:t xml:space="preserve">، </w:t>
      </w:r>
      <w:r w:rsidR="005D2B1F">
        <w:rPr>
          <w:rFonts w:hint="cs"/>
          <w:rtl/>
          <w:lang w:bidi="ar-EG"/>
        </w:rPr>
        <w:t>ا</w:t>
      </w:r>
      <w:r w:rsidRPr="007611D9">
        <w:rPr>
          <w:rtl/>
        </w:rPr>
        <w:t>لمانيا</w:t>
      </w:r>
      <w:r w:rsidRPr="007611D9">
        <w:t xml:space="preserve"> </w:t>
      </w:r>
    </w:p>
    <w:p w14:paraId="0907C76B" w14:textId="30C85F94" w:rsidR="007611D9" w:rsidRPr="007611D9" w:rsidRDefault="007611D9" w:rsidP="00EC2033">
      <w:pPr>
        <w:numPr>
          <w:ilvl w:val="0"/>
          <w:numId w:val="10"/>
        </w:numPr>
        <w:bidi/>
        <w:spacing w:after="0"/>
      </w:pPr>
      <w:r w:rsidRPr="007611D9">
        <w:rPr>
          <w:rtl/>
        </w:rPr>
        <w:t>الحوكمة – المعهد المصرفي المصري</w:t>
      </w:r>
      <w:r w:rsidR="00CF7489">
        <w:rPr>
          <w:rFonts w:hint="cs"/>
          <w:rtl/>
          <w:lang w:bidi="ar-EG"/>
        </w:rPr>
        <w:t xml:space="preserve"> </w:t>
      </w:r>
      <w:r w:rsidR="00CF7489">
        <w:rPr>
          <w:lang w:bidi="ar-EG"/>
        </w:rPr>
        <w:t>(2019,2023,2025)</w:t>
      </w:r>
    </w:p>
    <w:p w14:paraId="4730BEFA" w14:textId="77777777" w:rsidR="002713F7" w:rsidRDefault="002713F7" w:rsidP="007611D9">
      <w:pPr>
        <w:bidi/>
      </w:pPr>
    </w:p>
    <w:sectPr w:rsidR="002713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E234A"/>
    <w:multiLevelType w:val="multilevel"/>
    <w:tmpl w:val="14D21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0B0C82"/>
    <w:multiLevelType w:val="multilevel"/>
    <w:tmpl w:val="37B4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147479"/>
    <w:multiLevelType w:val="multilevel"/>
    <w:tmpl w:val="21B69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40798A"/>
    <w:multiLevelType w:val="multilevel"/>
    <w:tmpl w:val="FD681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365121"/>
    <w:multiLevelType w:val="multilevel"/>
    <w:tmpl w:val="278ED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A8597A"/>
    <w:multiLevelType w:val="multilevel"/>
    <w:tmpl w:val="F188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81609B"/>
    <w:multiLevelType w:val="multilevel"/>
    <w:tmpl w:val="BBCCF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B2293E"/>
    <w:multiLevelType w:val="multilevel"/>
    <w:tmpl w:val="EEA6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4C24B6"/>
    <w:multiLevelType w:val="multilevel"/>
    <w:tmpl w:val="1E3AD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4D3A32"/>
    <w:multiLevelType w:val="multilevel"/>
    <w:tmpl w:val="C0F4C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2921517">
    <w:abstractNumId w:val="4"/>
  </w:num>
  <w:num w:numId="2" w16cid:durableId="361636114">
    <w:abstractNumId w:val="3"/>
  </w:num>
  <w:num w:numId="3" w16cid:durableId="754980557">
    <w:abstractNumId w:val="9"/>
  </w:num>
  <w:num w:numId="4" w16cid:durableId="1938320520">
    <w:abstractNumId w:val="8"/>
  </w:num>
  <w:num w:numId="5" w16cid:durableId="2043045746">
    <w:abstractNumId w:val="7"/>
  </w:num>
  <w:num w:numId="6" w16cid:durableId="1583104178">
    <w:abstractNumId w:val="5"/>
  </w:num>
  <w:num w:numId="7" w16cid:durableId="775098605">
    <w:abstractNumId w:val="2"/>
  </w:num>
  <w:num w:numId="8" w16cid:durableId="2103988913">
    <w:abstractNumId w:val="0"/>
  </w:num>
  <w:num w:numId="9" w16cid:durableId="265113209">
    <w:abstractNumId w:val="1"/>
  </w:num>
  <w:num w:numId="10" w16cid:durableId="4535272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D9"/>
    <w:rsid w:val="00096004"/>
    <w:rsid w:val="00191696"/>
    <w:rsid w:val="001D351B"/>
    <w:rsid w:val="002713F7"/>
    <w:rsid w:val="002E5914"/>
    <w:rsid w:val="00315A4C"/>
    <w:rsid w:val="00450C2D"/>
    <w:rsid w:val="005D2B1F"/>
    <w:rsid w:val="006C5954"/>
    <w:rsid w:val="007611D9"/>
    <w:rsid w:val="00766666"/>
    <w:rsid w:val="009A614D"/>
    <w:rsid w:val="00BA05AA"/>
    <w:rsid w:val="00C2769D"/>
    <w:rsid w:val="00CF7489"/>
    <w:rsid w:val="00DD7D5D"/>
    <w:rsid w:val="00DE3E17"/>
    <w:rsid w:val="00EC20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8A0B3"/>
  <w15:chartTrackingRefBased/>
  <w15:docId w15:val="{51168A10-DEC5-4677-A644-BA6B2C99F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914"/>
  </w:style>
  <w:style w:type="paragraph" w:styleId="Heading1">
    <w:name w:val="heading 1"/>
    <w:basedOn w:val="Normal"/>
    <w:next w:val="Normal"/>
    <w:link w:val="Heading1Char"/>
    <w:uiPriority w:val="9"/>
    <w:qFormat/>
    <w:rsid w:val="007611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1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1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1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1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1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1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1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1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1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1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1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1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1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1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1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1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1D9"/>
    <w:rPr>
      <w:rFonts w:eastAsiaTheme="majorEastAsia" w:cstheme="majorBidi"/>
      <w:color w:val="272727" w:themeColor="text1" w:themeTint="D8"/>
    </w:rPr>
  </w:style>
  <w:style w:type="paragraph" w:styleId="Title">
    <w:name w:val="Title"/>
    <w:basedOn w:val="Normal"/>
    <w:next w:val="Normal"/>
    <w:link w:val="TitleChar"/>
    <w:uiPriority w:val="10"/>
    <w:qFormat/>
    <w:rsid w:val="007611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1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1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1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1D9"/>
    <w:pPr>
      <w:spacing w:before="160"/>
      <w:jc w:val="center"/>
    </w:pPr>
    <w:rPr>
      <w:i/>
      <w:iCs/>
      <w:color w:val="404040" w:themeColor="text1" w:themeTint="BF"/>
    </w:rPr>
  </w:style>
  <w:style w:type="character" w:customStyle="1" w:styleId="QuoteChar">
    <w:name w:val="Quote Char"/>
    <w:basedOn w:val="DefaultParagraphFont"/>
    <w:link w:val="Quote"/>
    <w:uiPriority w:val="29"/>
    <w:rsid w:val="007611D9"/>
    <w:rPr>
      <w:i/>
      <w:iCs/>
      <w:color w:val="404040" w:themeColor="text1" w:themeTint="BF"/>
    </w:rPr>
  </w:style>
  <w:style w:type="paragraph" w:styleId="ListParagraph">
    <w:name w:val="List Paragraph"/>
    <w:basedOn w:val="Normal"/>
    <w:uiPriority w:val="34"/>
    <w:qFormat/>
    <w:rsid w:val="007611D9"/>
    <w:pPr>
      <w:ind w:left="720"/>
      <w:contextualSpacing/>
    </w:pPr>
  </w:style>
  <w:style w:type="character" w:styleId="IntenseEmphasis">
    <w:name w:val="Intense Emphasis"/>
    <w:basedOn w:val="DefaultParagraphFont"/>
    <w:uiPriority w:val="21"/>
    <w:qFormat/>
    <w:rsid w:val="007611D9"/>
    <w:rPr>
      <w:i/>
      <w:iCs/>
      <w:color w:val="0F4761" w:themeColor="accent1" w:themeShade="BF"/>
    </w:rPr>
  </w:style>
  <w:style w:type="paragraph" w:styleId="IntenseQuote">
    <w:name w:val="Intense Quote"/>
    <w:basedOn w:val="Normal"/>
    <w:next w:val="Normal"/>
    <w:link w:val="IntenseQuoteChar"/>
    <w:uiPriority w:val="30"/>
    <w:qFormat/>
    <w:rsid w:val="007611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1D9"/>
    <w:rPr>
      <w:i/>
      <w:iCs/>
      <w:color w:val="0F4761" w:themeColor="accent1" w:themeShade="BF"/>
    </w:rPr>
  </w:style>
  <w:style w:type="character" w:styleId="IntenseReference">
    <w:name w:val="Intense Reference"/>
    <w:basedOn w:val="DefaultParagraphFont"/>
    <w:uiPriority w:val="32"/>
    <w:qFormat/>
    <w:rsid w:val="007611D9"/>
    <w:rPr>
      <w:b/>
      <w:bCs/>
      <w:smallCaps/>
      <w:color w:val="0F4761" w:themeColor="accent1" w:themeShade="BF"/>
      <w:spacing w:val="5"/>
    </w:rPr>
  </w:style>
  <w:style w:type="character" w:styleId="Hyperlink">
    <w:name w:val="Hyperlink"/>
    <w:basedOn w:val="DefaultParagraphFont"/>
    <w:uiPriority w:val="99"/>
    <w:unhideWhenUsed/>
    <w:rsid w:val="007611D9"/>
    <w:rPr>
      <w:color w:val="467886" w:themeColor="hyperlink"/>
      <w:u w:val="single"/>
    </w:rPr>
  </w:style>
  <w:style w:type="character" w:styleId="UnresolvedMention">
    <w:name w:val="Unresolved Mention"/>
    <w:basedOn w:val="DefaultParagraphFont"/>
    <w:uiPriority w:val="99"/>
    <w:semiHidden/>
    <w:unhideWhenUsed/>
    <w:rsid w:val="007611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customXml" Target="ink/ink1.xml"/><Relationship Id="rId4" Type="http://schemas.openxmlformats.org/officeDocument/2006/relationships/webSettings" Target="web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channel name="OA" type="integer" max="360" units="deg"/>
          <inkml:channel name="OE" type="integer" max="90" units="deg"/>
        </inkml:traceFormat>
        <inkml:channelProperties>
          <inkml:channelProperty channel="X" name="resolution" value="1000" units="1/cm"/>
          <inkml:channelProperty channel="Y" name="resolution" value="1000" units="1/cm"/>
          <inkml:channelProperty channel="F" name="resolution" value="0" units="1/dev"/>
          <inkml:channelProperty channel="OA" name="resolution" value="1000" units="1/deg"/>
          <inkml:channelProperty channel="OE" name="resolution" value="1000" units="1/deg"/>
        </inkml:channelProperties>
      </inkml:inkSource>
      <inkml:timestamp xml:id="ts0" timeString="2025-08-26T12:25:00.139"/>
    </inkml:context>
    <inkml:brush xml:id="br0">
      <inkml:brushProperty name="width" value="0.035" units="cm"/>
      <inkml:brushProperty name="height" value="0.035" units="cm"/>
    </inkml:brush>
  </inkml:definitions>
  <inkml:trace contextRef="#ctx0" brushRef="#br0">0 1 88 0 0,'0'0'592'0'0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333</Words>
  <Characters>1904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 Abdelaziz</dc:creator>
  <cp:keywords/>
  <dc:description/>
  <cp:lastModifiedBy>Ahmed Abdelaziz</cp:lastModifiedBy>
  <cp:revision>7</cp:revision>
  <dcterms:created xsi:type="dcterms:W3CDTF">2025-08-26T10:57:00Z</dcterms:created>
  <dcterms:modified xsi:type="dcterms:W3CDTF">2025-11-18T15:33:00Z</dcterms:modified>
</cp:coreProperties>
</file>