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1101763804"/>
        <w:docPartObj>
          <w:docPartGallery w:val="Cover Pages"/>
          <w:docPartUnique/>
        </w:docPartObj>
      </w:sdtPr>
      <w:sdtEndPr/>
      <w:sdtContent>
        <w:p w14:paraId="422E117C" w14:textId="77777777" w:rsidR="00092BC2" w:rsidRDefault="00092BC2" w:rsidP="00115C5E">
          <w:pPr>
            <w:jc w:val="right"/>
          </w:pPr>
        </w:p>
        <w:p w14:paraId="7C619E21" w14:textId="77777777" w:rsidR="00626320" w:rsidRDefault="00092BC2" w:rsidP="00626320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8CDDB77" wp14:editId="7C692B1C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625169" w14:textId="77777777" w:rsidR="00C94D93" w:rsidRPr="00C94D93" w:rsidRDefault="00C94D93" w:rsidP="00C94D93">
                                <w:pPr>
                                  <w:bidi w:val="0"/>
                                  <w:spacing w:before="100" w:beforeAutospacing="1" w:after="100" w:afterAutospacing="1" w:line="240" w:lineRule="auto"/>
                                  <w:jc w:val="both"/>
                                  <w:rPr>
                                    <w:rFonts w:asciiTheme="majorBidi" w:eastAsiaTheme="minorHAns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</w:pPr>
                                <w:r w:rsidRPr="00C94D93">
                                  <w:rPr>
                                    <w:rFonts w:asciiTheme="majorBidi" w:eastAsiaTheme="minorHAnsi" w:hAnsiTheme="majorBidi" w:cstheme="majorBidi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lang w:bidi="ar-EG"/>
                                  </w:rPr>
                                  <w:t>Technical Feasibility Study Template, Business plan, and Operational plan attached to the application for registering foreign non – resident reinsurance brokers.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8CDDB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14:paraId="19625169" w14:textId="77777777" w:rsidR="00C94D93" w:rsidRPr="00C94D93" w:rsidRDefault="00C94D93" w:rsidP="00C94D93">
                          <w:pPr>
                            <w:bidi w:val="0"/>
                            <w:spacing w:before="100" w:beforeAutospacing="1" w:after="100" w:afterAutospacing="1" w:line="240" w:lineRule="auto"/>
                            <w:jc w:val="both"/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</w:pPr>
                          <w:r w:rsidRPr="00C94D93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color w:val="0D183D"/>
                              <w:sz w:val="36"/>
                              <w:szCs w:val="36"/>
                              <w:lang w:bidi="ar-EG"/>
                            </w:rPr>
                            <w:t>Technical Feasibility Study Template, Business plan, and Operational plan attached to the application for registering foreign non – resident reinsurance brokers.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  <w:p w14:paraId="47FC6142" w14:textId="77777777" w:rsidR="005248DC" w:rsidRDefault="006569E3" w:rsidP="005248DC">
          <w:pPr>
            <w:tabs>
              <w:tab w:val="left" w:pos="5766"/>
            </w:tabs>
            <w:ind w:left="-246"/>
            <w:jc w:val="both"/>
            <w:rPr>
              <w:rFonts w:cs="GE SS Two Light"/>
              <w:b/>
              <w:bCs/>
              <w:sz w:val="28"/>
              <w:szCs w:val="30"/>
              <w:u w:val="single"/>
              <w:rtl/>
              <w:lang w:bidi="ar-EG"/>
            </w:rPr>
          </w:pPr>
        </w:p>
      </w:sdtContent>
    </w:sdt>
    <w:p w14:paraId="2C0A9A5E" w14:textId="77777777" w:rsidR="00C94D93" w:rsidRPr="006569E3" w:rsidRDefault="00581E9E" w:rsidP="006569E3">
      <w:pPr>
        <w:pStyle w:val="PlainText"/>
        <w:numPr>
          <w:ilvl w:val="0"/>
          <w:numId w:val="34"/>
        </w:numPr>
        <w:spacing w:line="276" w:lineRule="auto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581E9E">
        <w:rPr>
          <w:rFonts w:cs="GE SS Two Light"/>
          <w:sz w:val="28"/>
          <w:szCs w:val="30"/>
          <w:lang w:bidi="ar-EG"/>
        </w:rPr>
        <w:t xml:space="preserve">  </w:t>
      </w:r>
      <w:r>
        <w:rPr>
          <w:rFonts w:cs="GE SS Two Light"/>
          <w:sz w:val="28"/>
          <w:szCs w:val="30"/>
          <w:lang w:bidi="ar-EG"/>
        </w:rPr>
        <w:t xml:space="preserve"> </w:t>
      </w:r>
      <w:r w:rsidR="00C94D93"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Technical Feasibility Study:</w:t>
      </w:r>
    </w:p>
    <w:p w14:paraId="2DD0D913" w14:textId="77777777" w:rsidR="00C94D93" w:rsidRPr="006569E3" w:rsidRDefault="00C94D93" w:rsidP="006569E3">
      <w:pPr>
        <w:pStyle w:val="PlainText"/>
        <w:numPr>
          <w:ilvl w:val="0"/>
          <w:numId w:val="35"/>
        </w:numPr>
        <w:spacing w:line="276" w:lineRule="auto"/>
        <w:ind w:left="993" w:hanging="273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Overview of the broker’s experience in reinsurance (markets served, years of experience, specializations).</w:t>
      </w:r>
    </w:p>
    <w:p w14:paraId="402467F9" w14:textId="77777777" w:rsidR="00C94D93" w:rsidRPr="006569E3" w:rsidRDefault="00C94D93" w:rsidP="006569E3">
      <w:pPr>
        <w:pStyle w:val="PlainText"/>
        <w:numPr>
          <w:ilvl w:val="0"/>
          <w:numId w:val="35"/>
        </w:numPr>
        <w:spacing w:line="276" w:lineRule="auto"/>
        <w:ind w:left="993" w:hanging="273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Analysis of the Egyptian insurance and reinsurance market (opportunities, challenges, added value).</w:t>
      </w:r>
    </w:p>
    <w:p w14:paraId="4FB58C87" w14:textId="77777777" w:rsidR="00C94D93" w:rsidRPr="006569E3" w:rsidRDefault="00C94D93" w:rsidP="006569E3">
      <w:pPr>
        <w:pStyle w:val="PlainText"/>
        <w:numPr>
          <w:ilvl w:val="0"/>
          <w:numId w:val="35"/>
        </w:numPr>
        <w:spacing w:line="276" w:lineRule="auto"/>
        <w:ind w:left="993" w:hanging="273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Distribution strategy and risk management approach.</w:t>
      </w:r>
    </w:p>
    <w:p w14:paraId="02DD056B" w14:textId="77777777" w:rsidR="00C94D93" w:rsidRPr="006569E3" w:rsidRDefault="00C94D93" w:rsidP="006569E3">
      <w:pPr>
        <w:pStyle w:val="PlainText"/>
        <w:numPr>
          <w:ilvl w:val="0"/>
          <w:numId w:val="35"/>
        </w:numPr>
        <w:spacing w:line="276" w:lineRule="auto"/>
        <w:ind w:left="993" w:hanging="273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Assessment of technical capabilities (team expertise, qualifications, IT systems).</w:t>
      </w:r>
    </w:p>
    <w:p w14:paraId="74257C56" w14:textId="77777777" w:rsidR="00C94D93" w:rsidRPr="006569E3" w:rsidRDefault="00C94D93" w:rsidP="006569E3">
      <w:pPr>
        <w:pStyle w:val="PlainText"/>
        <w:numPr>
          <w:ilvl w:val="0"/>
          <w:numId w:val="34"/>
        </w:numPr>
        <w:spacing w:line="276" w:lineRule="auto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Business Plan:</w:t>
      </w:r>
    </w:p>
    <w:p w14:paraId="5D1FDE5D" w14:textId="77777777" w:rsidR="00C94D93" w:rsidRPr="006569E3" w:rsidRDefault="00C94D93" w:rsidP="006569E3">
      <w:pPr>
        <w:pStyle w:val="PlainText"/>
        <w:numPr>
          <w:ilvl w:val="0"/>
          <w:numId w:val="36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Vision and strategic objectives in the Egyptian market.</w:t>
      </w:r>
    </w:p>
    <w:p w14:paraId="2AA26E94" w14:textId="77777777" w:rsidR="00C94D93" w:rsidRPr="006569E3" w:rsidRDefault="00C94D93" w:rsidP="006569E3">
      <w:pPr>
        <w:pStyle w:val="PlainText"/>
        <w:numPr>
          <w:ilvl w:val="0"/>
          <w:numId w:val="36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Targeted insurance/reinsuranc</w:t>
      </w:r>
      <w:bookmarkStart w:id="0" w:name="_GoBack"/>
      <w:bookmarkEnd w:id="0"/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e lines (life, health, property, liability, etc.).</w:t>
      </w:r>
    </w:p>
    <w:p w14:paraId="3478E09C" w14:textId="77777777" w:rsidR="00C94D93" w:rsidRPr="006569E3" w:rsidRDefault="00C94D93" w:rsidP="006569E3">
      <w:pPr>
        <w:pStyle w:val="PlainText"/>
        <w:numPr>
          <w:ilvl w:val="0"/>
          <w:numId w:val="36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Marketing strategy and relationship building with local companies.</w:t>
      </w:r>
    </w:p>
    <w:p w14:paraId="1C4D8708" w14:textId="77777777" w:rsidR="00C94D93" w:rsidRPr="006569E3" w:rsidRDefault="00C94D93" w:rsidP="006569E3">
      <w:pPr>
        <w:pStyle w:val="PlainText"/>
        <w:numPr>
          <w:ilvl w:val="0"/>
          <w:numId w:val="36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Business projections for 3–5 years (premiums, commissions, etc.).</w:t>
      </w:r>
    </w:p>
    <w:p w14:paraId="654206E2" w14:textId="77777777" w:rsidR="00C94D93" w:rsidRPr="006569E3" w:rsidRDefault="00C94D93" w:rsidP="006569E3">
      <w:pPr>
        <w:pStyle w:val="PlainText"/>
        <w:numPr>
          <w:ilvl w:val="0"/>
          <w:numId w:val="36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Compliance plan with local laws and regulations.</w:t>
      </w:r>
    </w:p>
    <w:p w14:paraId="310F0928" w14:textId="77777777" w:rsidR="00C94D93" w:rsidRPr="006569E3" w:rsidRDefault="00C94D93" w:rsidP="006569E3">
      <w:pPr>
        <w:pStyle w:val="PlainText"/>
        <w:numPr>
          <w:ilvl w:val="0"/>
          <w:numId w:val="34"/>
        </w:numPr>
        <w:spacing w:line="276" w:lineRule="auto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Operational Plan:</w:t>
      </w:r>
    </w:p>
    <w:p w14:paraId="28DF2371" w14:textId="77777777" w:rsidR="00C94D93" w:rsidRPr="006569E3" w:rsidRDefault="00C94D93" w:rsidP="006569E3">
      <w:pPr>
        <w:pStyle w:val="PlainText"/>
        <w:numPr>
          <w:ilvl w:val="0"/>
          <w:numId w:val="37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Proposed organizational and administrative structure for dealing with the local market.</w:t>
      </w:r>
    </w:p>
    <w:p w14:paraId="135F6CB6" w14:textId="6F1E0CD8" w:rsidR="00C94D93" w:rsidRPr="006569E3" w:rsidRDefault="00C94D93" w:rsidP="006569E3">
      <w:pPr>
        <w:pStyle w:val="PlainText"/>
        <w:numPr>
          <w:ilvl w:val="0"/>
          <w:numId w:val="37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 xml:space="preserve">Operational policies and procedures (risk acceptance, claims handling, </w:t>
      </w: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and internal</w:t>
      </w: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 xml:space="preserve"> control).</w:t>
      </w:r>
    </w:p>
    <w:p w14:paraId="4EDA409B" w14:textId="77777777" w:rsidR="00C94D93" w:rsidRPr="006569E3" w:rsidRDefault="00C94D93" w:rsidP="006569E3">
      <w:pPr>
        <w:pStyle w:val="PlainText"/>
        <w:numPr>
          <w:ilvl w:val="0"/>
          <w:numId w:val="37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Risk management and compliance framework.</w:t>
      </w:r>
    </w:p>
    <w:p w14:paraId="25ED66E2" w14:textId="77777777" w:rsidR="00C94D93" w:rsidRPr="006569E3" w:rsidRDefault="00C94D93" w:rsidP="006569E3">
      <w:pPr>
        <w:pStyle w:val="PlainText"/>
        <w:numPr>
          <w:ilvl w:val="0"/>
          <w:numId w:val="37"/>
        </w:numPr>
        <w:spacing w:line="276" w:lineRule="auto"/>
        <w:ind w:left="1134"/>
        <w:jc w:val="both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IT systems to be used for monitoring and managing operations.</w:t>
      </w:r>
    </w:p>
    <w:p w14:paraId="1F90A726" w14:textId="77777777" w:rsidR="00C94D93" w:rsidRPr="006569E3" w:rsidRDefault="00C94D93" w:rsidP="006569E3">
      <w:pPr>
        <w:pStyle w:val="PlainText"/>
        <w:numPr>
          <w:ilvl w:val="0"/>
          <w:numId w:val="37"/>
        </w:numPr>
        <w:spacing w:line="276" w:lineRule="auto"/>
        <w:ind w:left="1134"/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</w:pPr>
      <w:r w:rsidRPr="006569E3">
        <w:rPr>
          <w:rFonts w:asciiTheme="majorBidi" w:hAnsiTheme="majorBidi" w:cstheme="majorBidi"/>
          <w:b/>
          <w:bCs/>
          <w:color w:val="0D183D"/>
          <w:sz w:val="24"/>
          <w:szCs w:val="24"/>
          <w:lang w:bidi="ar-EG"/>
        </w:rPr>
        <w:t>Human resources plan (team responsible for the Egyptian market – expertise – qualifications).</w:t>
      </w:r>
    </w:p>
    <w:p w14:paraId="209B8BA5" w14:textId="077FF752" w:rsidR="00421E6E" w:rsidRPr="00C94D93" w:rsidRDefault="00421E6E" w:rsidP="00581E9E">
      <w:pPr>
        <w:tabs>
          <w:tab w:val="left" w:pos="474"/>
        </w:tabs>
        <w:ind w:left="142"/>
        <w:jc w:val="both"/>
        <w:rPr>
          <w:rFonts w:cs="GE SS Two Light"/>
          <w:sz w:val="28"/>
          <w:szCs w:val="30"/>
          <w:lang w:bidi="ar-EG"/>
        </w:rPr>
      </w:pPr>
    </w:p>
    <w:p w14:paraId="0A4909CB" w14:textId="182E880D" w:rsidR="00421E6E" w:rsidRPr="00421E6E" w:rsidRDefault="00581E9E" w:rsidP="00421E6E">
      <w:pPr>
        <w:tabs>
          <w:tab w:val="left" w:pos="5766"/>
        </w:tabs>
        <w:jc w:val="center"/>
        <w:rPr>
          <w:rFonts w:cs="GE SS Two Light"/>
          <w:b/>
          <w:bCs/>
          <w:color w:val="BF8F00" w:themeColor="accent4" w:themeShade="BF"/>
          <w:sz w:val="32"/>
          <w:szCs w:val="32"/>
          <w:rtl/>
          <w:lang w:bidi="ar-EG"/>
        </w:rPr>
      </w:pPr>
      <w:r>
        <w:rPr>
          <w:rFonts w:cs="GE SS Two Light"/>
          <w:b/>
          <w:bCs/>
          <w:color w:val="BF8F00" w:themeColor="accent4" w:themeShade="BF"/>
          <w:sz w:val="32"/>
          <w:szCs w:val="32"/>
          <w:lang w:bidi="ar-EG"/>
        </w:rPr>
        <w:t xml:space="preserve"> </w:t>
      </w:r>
    </w:p>
    <w:p w14:paraId="2F0963D9" w14:textId="1727120E" w:rsidR="00A22E97" w:rsidRPr="00421E6E" w:rsidRDefault="00581E9E" w:rsidP="00A22E97">
      <w:pPr>
        <w:tabs>
          <w:tab w:val="left" w:pos="5766"/>
        </w:tabs>
        <w:jc w:val="center"/>
        <w:rPr>
          <w:rFonts w:cs="GE SS Two Light"/>
          <w:b/>
          <w:bCs/>
          <w:color w:val="BF8F00" w:themeColor="accent4" w:themeShade="BF"/>
          <w:sz w:val="32"/>
          <w:szCs w:val="32"/>
          <w:rtl/>
          <w:lang w:bidi="ar-EG"/>
        </w:rPr>
      </w:pPr>
      <w:bookmarkStart w:id="1" w:name="_Hlk155703003"/>
      <w:r>
        <w:rPr>
          <w:rFonts w:cs="GE SS Two Light"/>
          <w:b/>
          <w:bCs/>
          <w:color w:val="BF8F00" w:themeColor="accent4" w:themeShade="BF"/>
          <w:sz w:val="32"/>
          <w:szCs w:val="32"/>
          <w:lang w:bidi="ar-EG"/>
        </w:rPr>
        <w:t xml:space="preserve"> </w:t>
      </w:r>
    </w:p>
    <w:bookmarkEnd w:id="1"/>
    <w:p w14:paraId="16485107" w14:textId="77777777" w:rsidR="00421E6E" w:rsidRPr="00421E6E" w:rsidRDefault="00421E6E" w:rsidP="00581E9E">
      <w:pPr>
        <w:tabs>
          <w:tab w:val="left" w:pos="5766"/>
        </w:tabs>
        <w:jc w:val="right"/>
        <w:rPr>
          <w:rFonts w:cs="GE SS Two Light"/>
          <w:b/>
          <w:bCs/>
          <w:color w:val="BF8F00" w:themeColor="accent4" w:themeShade="BF"/>
          <w:sz w:val="32"/>
          <w:szCs w:val="32"/>
          <w:rtl/>
          <w:lang w:bidi="ar-EG"/>
        </w:rPr>
      </w:pPr>
    </w:p>
    <w:p w14:paraId="6F59412C" w14:textId="77777777" w:rsidR="00421E6E" w:rsidRPr="00F51B05" w:rsidRDefault="00421E6E" w:rsidP="00421E6E">
      <w:pPr>
        <w:tabs>
          <w:tab w:val="left" w:pos="5766"/>
        </w:tabs>
        <w:jc w:val="center"/>
        <w:rPr>
          <w:b/>
          <w:bCs/>
          <w:sz w:val="28"/>
          <w:szCs w:val="28"/>
          <w:lang w:bidi="ar-EG"/>
        </w:rPr>
      </w:pPr>
    </w:p>
    <w:p w14:paraId="4E2627B3" w14:textId="77777777" w:rsidR="00186A12" w:rsidRDefault="00186A12" w:rsidP="00115C5E">
      <w:pPr>
        <w:jc w:val="right"/>
        <w:rPr>
          <w:lang w:bidi="ar-EG"/>
        </w:rPr>
      </w:pPr>
    </w:p>
    <w:sectPr w:rsidR="00186A12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3FFC" w14:textId="77777777" w:rsidR="00AF5BF2" w:rsidRDefault="00AF5BF2" w:rsidP="00F7453A">
      <w:pPr>
        <w:spacing w:after="0" w:line="240" w:lineRule="auto"/>
      </w:pPr>
      <w:r>
        <w:separator/>
      </w:r>
    </w:p>
  </w:endnote>
  <w:endnote w:type="continuationSeparator" w:id="0">
    <w:p w14:paraId="177A1B39" w14:textId="77777777" w:rsidR="00AF5BF2" w:rsidRDefault="00AF5BF2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79A09" w14:textId="77777777" w:rsidR="00AF5BF2" w:rsidRDefault="00AF5BF2" w:rsidP="00F7453A">
      <w:pPr>
        <w:spacing w:after="0" w:line="240" w:lineRule="auto"/>
      </w:pPr>
      <w:r>
        <w:separator/>
      </w:r>
    </w:p>
  </w:footnote>
  <w:footnote w:type="continuationSeparator" w:id="0">
    <w:p w14:paraId="3D0E2B29" w14:textId="77777777" w:rsidR="00AF5BF2" w:rsidRDefault="00AF5BF2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EC1B" w14:textId="77777777" w:rsidR="00F7453A" w:rsidRPr="00F7453A" w:rsidRDefault="00F7453A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683CE" wp14:editId="159B487C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13B" w14:textId="77777777" w:rsidR="00092BC2" w:rsidRDefault="00092B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87DF0" wp14:editId="6F441F33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5CA"/>
    <w:multiLevelType w:val="hybridMultilevel"/>
    <w:tmpl w:val="929CEF5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4C6"/>
    <w:multiLevelType w:val="hybridMultilevel"/>
    <w:tmpl w:val="B4E41B44"/>
    <w:lvl w:ilvl="0" w:tplc="B7DA9E6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" w:eastAsia="Times New Roman" w:hAnsi="Simplified Arabic" w:cs="Simplified Arabic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85F8F"/>
    <w:multiLevelType w:val="hybridMultilevel"/>
    <w:tmpl w:val="61BE4CAA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039049F2"/>
    <w:multiLevelType w:val="hybridMultilevel"/>
    <w:tmpl w:val="1D1051CA"/>
    <w:lvl w:ilvl="0" w:tplc="0409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5606A91"/>
    <w:multiLevelType w:val="hybridMultilevel"/>
    <w:tmpl w:val="1B3C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194C"/>
    <w:multiLevelType w:val="hybridMultilevel"/>
    <w:tmpl w:val="00D8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4FD3"/>
    <w:multiLevelType w:val="hybridMultilevel"/>
    <w:tmpl w:val="299246A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0E421AB3"/>
    <w:multiLevelType w:val="hybridMultilevel"/>
    <w:tmpl w:val="162A8B78"/>
    <w:lvl w:ilvl="0" w:tplc="B7DA9E6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implified Arabic" w:eastAsia="Times New Roman" w:hAnsi="Simplified Arabic" w:cs="Simplified Arabic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721D8A"/>
    <w:multiLevelType w:val="hybridMultilevel"/>
    <w:tmpl w:val="1388AF2E"/>
    <w:lvl w:ilvl="0" w:tplc="531258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52250"/>
    <w:multiLevelType w:val="hybridMultilevel"/>
    <w:tmpl w:val="0F741888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18256C71"/>
    <w:multiLevelType w:val="hybridMultilevel"/>
    <w:tmpl w:val="6510810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241E5CA4"/>
    <w:multiLevelType w:val="hybridMultilevel"/>
    <w:tmpl w:val="82AC8652"/>
    <w:lvl w:ilvl="0" w:tplc="4BA66EF0">
      <w:start w:val="3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0C3D"/>
    <w:multiLevelType w:val="hybridMultilevel"/>
    <w:tmpl w:val="99864058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E31514B"/>
    <w:multiLevelType w:val="hybridMultilevel"/>
    <w:tmpl w:val="F70E8282"/>
    <w:lvl w:ilvl="0" w:tplc="2114655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EF0588D"/>
    <w:multiLevelType w:val="hybridMultilevel"/>
    <w:tmpl w:val="E71E0A2E"/>
    <w:lvl w:ilvl="0" w:tplc="06D6AE96">
      <w:start w:val="1"/>
      <w:numFmt w:val="arabicAbjad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309758C7"/>
    <w:multiLevelType w:val="hybridMultilevel"/>
    <w:tmpl w:val="901AD74A"/>
    <w:lvl w:ilvl="0" w:tplc="2114655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11B0A12"/>
    <w:multiLevelType w:val="hybridMultilevel"/>
    <w:tmpl w:val="FBB6F8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52D19"/>
    <w:multiLevelType w:val="hybridMultilevel"/>
    <w:tmpl w:val="916EB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D3CA6"/>
    <w:multiLevelType w:val="hybridMultilevel"/>
    <w:tmpl w:val="2500E752"/>
    <w:lvl w:ilvl="0" w:tplc="DDBE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9D7E6DA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440B0"/>
    <w:multiLevelType w:val="hybridMultilevel"/>
    <w:tmpl w:val="272AF01A"/>
    <w:lvl w:ilvl="0" w:tplc="D82A5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25089C"/>
    <w:multiLevelType w:val="hybridMultilevel"/>
    <w:tmpl w:val="FD8E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7E64"/>
    <w:multiLevelType w:val="hybridMultilevel"/>
    <w:tmpl w:val="3EA8FD0A"/>
    <w:lvl w:ilvl="0" w:tplc="21146552">
      <w:start w:val="1"/>
      <w:numFmt w:val="decimal"/>
      <w:lvlText w:val="%1-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BD24741"/>
    <w:multiLevelType w:val="hybridMultilevel"/>
    <w:tmpl w:val="7256BC1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CFC0707"/>
    <w:multiLevelType w:val="hybridMultilevel"/>
    <w:tmpl w:val="A5AEA4E6"/>
    <w:lvl w:ilvl="0" w:tplc="8AD69E78">
      <w:start w:val="1"/>
      <w:numFmt w:val="bullet"/>
      <w:lvlText w:val="-"/>
      <w:lvlJc w:val="left"/>
      <w:pPr>
        <w:ind w:left="93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5F1C7D8B"/>
    <w:multiLevelType w:val="hybridMultilevel"/>
    <w:tmpl w:val="68AAA652"/>
    <w:lvl w:ilvl="0" w:tplc="0409000F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60154AE9"/>
    <w:multiLevelType w:val="hybridMultilevel"/>
    <w:tmpl w:val="6C986F9C"/>
    <w:lvl w:ilvl="0" w:tplc="8AD69E78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2EE164F"/>
    <w:multiLevelType w:val="hybridMultilevel"/>
    <w:tmpl w:val="5DBE9F76"/>
    <w:lvl w:ilvl="0" w:tplc="0C72D7E8">
      <w:start w:val="4"/>
      <w:numFmt w:val="bullet"/>
      <w:lvlText w:val="-"/>
      <w:lvlJc w:val="left"/>
      <w:pPr>
        <w:ind w:left="501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C8316E"/>
    <w:multiLevelType w:val="hybridMultilevel"/>
    <w:tmpl w:val="002CF698"/>
    <w:lvl w:ilvl="0" w:tplc="8E8AE7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aditional Arabic"/>
        <w:b/>
        <w:bCs/>
        <w:strike w:val="0"/>
        <w:dstrike w:val="0"/>
        <w:sz w:val="28"/>
        <w:szCs w:val="28"/>
        <w:u w:val="none"/>
        <w:effect w:val="none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BE2ADC04">
      <w:start w:val="2"/>
      <w:numFmt w:val="arabicAlpha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C2678"/>
    <w:multiLevelType w:val="hybridMultilevel"/>
    <w:tmpl w:val="E22A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720A"/>
    <w:multiLevelType w:val="hybridMultilevel"/>
    <w:tmpl w:val="5A4EE444"/>
    <w:lvl w:ilvl="0" w:tplc="2A883040">
      <w:numFmt w:val="bullet"/>
      <w:lvlText w:val="-"/>
      <w:lvlJc w:val="left"/>
      <w:pPr>
        <w:ind w:left="744" w:hanging="360"/>
      </w:pPr>
      <w:rPr>
        <w:rFonts w:ascii="Sakkal Majalla" w:eastAsia="Simplified Arabic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6CF25CAA"/>
    <w:multiLevelType w:val="hybridMultilevel"/>
    <w:tmpl w:val="53E2615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71A10CE6"/>
    <w:multiLevelType w:val="hybridMultilevel"/>
    <w:tmpl w:val="DB8294FE"/>
    <w:lvl w:ilvl="0" w:tplc="7946D5AC">
      <w:start w:val="1"/>
      <w:numFmt w:val="arabicAbjad"/>
      <w:lvlText w:val="(%1)"/>
      <w:lvlJc w:val="left"/>
      <w:pPr>
        <w:ind w:left="720" w:hanging="360"/>
      </w:pPr>
      <w:rPr>
        <w:rFonts w:ascii="Traditional Arabic" w:hAnsi="Traditional Arabic" w:cs="Traditional Arab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73FC4"/>
    <w:multiLevelType w:val="hybridMultilevel"/>
    <w:tmpl w:val="A06CF12E"/>
    <w:lvl w:ilvl="0" w:tplc="7144CB40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cs="Traditional Arabic" w:hint="default"/>
        <w:b/>
        <w:bCs/>
        <w:sz w:val="28"/>
        <w:szCs w:val="28"/>
        <w:u w:val="none"/>
      </w:rPr>
    </w:lvl>
    <w:lvl w:ilvl="1" w:tplc="D7F458F2">
      <w:start w:val="1"/>
      <w:numFmt w:val="arabicAbjad"/>
      <w:lvlText w:val="%2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"/>
        <w:szCs w:val="28"/>
      </w:rPr>
    </w:lvl>
    <w:lvl w:ilvl="2" w:tplc="21D8C62A">
      <w:start w:val="1"/>
      <w:numFmt w:val="arabicAbjad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"/>
        <w:szCs w:val="28"/>
      </w:rPr>
    </w:lvl>
    <w:lvl w:ilvl="3" w:tplc="50E4D290">
      <w:start w:val="1"/>
      <w:numFmt w:val="decimal"/>
      <w:lvlText w:val="%4."/>
      <w:lvlJc w:val="left"/>
      <w:pPr>
        <w:tabs>
          <w:tab w:val="num" w:pos="2592"/>
        </w:tabs>
        <w:ind w:left="2592" w:hanging="432"/>
      </w:pPr>
      <w:rPr>
        <w:rFonts w:cs="Times New Roman" w:hint="default"/>
        <w:u w:val="none"/>
      </w:rPr>
    </w:lvl>
    <w:lvl w:ilvl="4" w:tplc="0C56A17E"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  <w:b/>
      </w:rPr>
    </w:lvl>
    <w:lvl w:ilvl="5" w:tplc="B7DA9E68">
      <w:start w:val="8"/>
      <w:numFmt w:val="bullet"/>
      <w:lvlText w:val="-"/>
      <w:lvlJc w:val="left"/>
      <w:pPr>
        <w:ind w:left="4500" w:hanging="720"/>
      </w:pPr>
      <w:rPr>
        <w:rFonts w:ascii="Simplified Arabic" w:eastAsia="Times New Roman" w:hAnsi="Simplified Arabic" w:cs="Simplified Arabic" w:hint="default"/>
        <w:b/>
        <w:bCs w:val="0"/>
        <w:sz w:val="24"/>
      </w:rPr>
    </w:lvl>
    <w:lvl w:ilvl="6" w:tplc="BA029886">
      <w:start w:val="5"/>
      <w:numFmt w:val="arabicAlpha"/>
      <w:lvlText w:val="%7."/>
      <w:lvlJc w:val="left"/>
      <w:pPr>
        <w:ind w:left="4680" w:hanging="360"/>
      </w:pPr>
      <w:rPr>
        <w:rFonts w:hint="default"/>
      </w:rPr>
    </w:lvl>
    <w:lvl w:ilvl="7" w:tplc="51CC51D6">
      <w:start w:val="7"/>
      <w:numFmt w:val="decimal"/>
      <w:lvlText w:val="(%8)"/>
      <w:lvlJc w:val="left"/>
      <w:pPr>
        <w:ind w:left="5400" w:hanging="360"/>
      </w:pPr>
      <w:rPr>
        <w:rFonts w:ascii="Calibri" w:eastAsia="Calibri" w:hAnsi="Calibri" w:hint="default"/>
      </w:rPr>
    </w:lvl>
    <w:lvl w:ilvl="8" w:tplc="259EAAD6">
      <w:start w:val="1"/>
      <w:numFmt w:val="arabicAlpha"/>
      <w:lvlText w:val="(%9)"/>
      <w:lvlJc w:val="left"/>
      <w:pPr>
        <w:ind w:left="6300" w:hanging="360"/>
      </w:pPr>
      <w:rPr>
        <w:rFonts w:eastAsia="Calibri" w:hint="default"/>
      </w:rPr>
    </w:lvl>
  </w:abstractNum>
  <w:abstractNum w:abstractNumId="34" w15:restartNumberingAfterBreak="0">
    <w:nsid w:val="77CC1944"/>
    <w:multiLevelType w:val="hybridMultilevel"/>
    <w:tmpl w:val="69848574"/>
    <w:lvl w:ilvl="0" w:tplc="1FE4F3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7593"/>
    <w:multiLevelType w:val="hybridMultilevel"/>
    <w:tmpl w:val="C2EC63FE"/>
    <w:lvl w:ilvl="0" w:tplc="21146552">
      <w:start w:val="1"/>
      <w:numFmt w:val="decimal"/>
      <w:lvlText w:val="%1-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5"/>
  </w:num>
  <w:num w:numId="5">
    <w:abstractNumId w:val="17"/>
  </w:num>
  <w:num w:numId="6">
    <w:abstractNumId w:val="26"/>
  </w:num>
  <w:num w:numId="7">
    <w:abstractNumId w:val="33"/>
  </w:num>
  <w:num w:numId="8">
    <w:abstractNumId w:val="20"/>
  </w:num>
  <w:num w:numId="9">
    <w:abstractNumId w:val="7"/>
  </w:num>
  <w:num w:numId="10">
    <w:abstractNumId w:val="8"/>
  </w:num>
  <w:num w:numId="11">
    <w:abstractNumId w:val="23"/>
  </w:num>
  <w:num w:numId="12">
    <w:abstractNumId w:val="24"/>
  </w:num>
  <w:num w:numId="13">
    <w:abstractNumId w:val="25"/>
  </w:num>
  <w:num w:numId="14">
    <w:abstractNumId w:val="3"/>
  </w:num>
  <w:num w:numId="15">
    <w:abstractNumId w:val="18"/>
  </w:num>
  <w:num w:numId="16">
    <w:abstractNumId w:val="32"/>
  </w:num>
  <w:num w:numId="17">
    <w:abstractNumId w:val="6"/>
  </w:num>
  <w:num w:numId="18">
    <w:abstractNumId w:val="31"/>
  </w:num>
  <w:num w:numId="19">
    <w:abstractNumId w:val="10"/>
  </w:num>
  <w:num w:numId="20">
    <w:abstractNumId w:val="12"/>
  </w:num>
  <w:num w:numId="21">
    <w:abstractNumId w:val="14"/>
  </w:num>
  <w:num w:numId="22">
    <w:abstractNumId w:val="34"/>
  </w:num>
  <w:num w:numId="23">
    <w:abstractNumId w:val="1"/>
  </w:num>
  <w:num w:numId="24">
    <w:abstractNumId w:val="0"/>
  </w:num>
  <w:num w:numId="25">
    <w:abstractNumId w:val="19"/>
  </w:num>
  <w:num w:numId="26">
    <w:abstractNumId w:val="22"/>
  </w:num>
  <w:num w:numId="27">
    <w:abstractNumId w:val="11"/>
  </w:num>
  <w:num w:numId="28">
    <w:abstractNumId w:val="30"/>
  </w:num>
  <w:num w:numId="29">
    <w:abstractNumId w:val="27"/>
  </w:num>
  <w:num w:numId="30">
    <w:abstractNumId w:val="2"/>
  </w:num>
  <w:num w:numId="31">
    <w:abstractNumId w:val="9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21"/>
  </w:num>
  <w:num w:numId="37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203D9"/>
    <w:rsid w:val="00070C16"/>
    <w:rsid w:val="00082095"/>
    <w:rsid w:val="00092BC2"/>
    <w:rsid w:val="000D303E"/>
    <w:rsid w:val="00115C5E"/>
    <w:rsid w:val="0018481B"/>
    <w:rsid w:val="00186A12"/>
    <w:rsid w:val="001E3C9A"/>
    <w:rsid w:val="00255F29"/>
    <w:rsid w:val="003148C4"/>
    <w:rsid w:val="00340A3B"/>
    <w:rsid w:val="00375BE0"/>
    <w:rsid w:val="00380065"/>
    <w:rsid w:val="003E293D"/>
    <w:rsid w:val="00421E6E"/>
    <w:rsid w:val="00435D7A"/>
    <w:rsid w:val="0051062F"/>
    <w:rsid w:val="00516A16"/>
    <w:rsid w:val="005248DC"/>
    <w:rsid w:val="00527415"/>
    <w:rsid w:val="00534C1E"/>
    <w:rsid w:val="00581E9E"/>
    <w:rsid w:val="005B5094"/>
    <w:rsid w:val="00626320"/>
    <w:rsid w:val="006569E3"/>
    <w:rsid w:val="006B5969"/>
    <w:rsid w:val="006C085B"/>
    <w:rsid w:val="006D541E"/>
    <w:rsid w:val="006E36B3"/>
    <w:rsid w:val="007065F9"/>
    <w:rsid w:val="00740E4A"/>
    <w:rsid w:val="00774E71"/>
    <w:rsid w:val="007F433B"/>
    <w:rsid w:val="008E50C4"/>
    <w:rsid w:val="00A1299A"/>
    <w:rsid w:val="00A17C9B"/>
    <w:rsid w:val="00A22E97"/>
    <w:rsid w:val="00AD7806"/>
    <w:rsid w:val="00AF5BF2"/>
    <w:rsid w:val="00BB47A6"/>
    <w:rsid w:val="00C36FBA"/>
    <w:rsid w:val="00C91D28"/>
    <w:rsid w:val="00C94D93"/>
    <w:rsid w:val="00CE3940"/>
    <w:rsid w:val="00D61E5C"/>
    <w:rsid w:val="00D826DC"/>
    <w:rsid w:val="00E315B3"/>
    <w:rsid w:val="00E82CB9"/>
    <w:rsid w:val="00E8336A"/>
    <w:rsid w:val="00EB72E9"/>
    <w:rsid w:val="00EC73B1"/>
    <w:rsid w:val="00F7453A"/>
    <w:rsid w:val="00F90541"/>
    <w:rsid w:val="00FA5A63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CB8034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93"/>
    <w:pPr>
      <w:bidi/>
      <w:spacing w:after="200" w:line="276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#Listenabsatz,List Paragraph (numbered (a)),Use Case List Paragraph,Bullets,YC Bulet,lp1,List Paragraph1,Liste 1,d_bodyb,Bullets in Table Lysys"/>
    <w:basedOn w:val="Normal"/>
    <w:link w:val="ListParagraphChar"/>
    <w:uiPriority w:val="34"/>
    <w:qFormat/>
    <w:rsid w:val="00626320"/>
    <w:pPr>
      <w:spacing w:after="0" w:line="240" w:lineRule="auto"/>
      <w:ind w:left="720"/>
    </w:pPr>
    <w:rPr>
      <w:rFonts w:ascii="Times New Roman" w:eastAsia="Times New Roman" w:hAnsi="Times New Roman" w:cs="Arabic Transparent"/>
      <w:sz w:val="26"/>
      <w:szCs w:val="28"/>
      <w:lang w:eastAsia="ar-SA"/>
    </w:rPr>
  </w:style>
  <w:style w:type="character" w:customStyle="1" w:styleId="ListParagraphChar">
    <w:name w:val="List Paragraph Char"/>
    <w:aliases w:val="#Listenabsatz Char,List Paragraph (numbered (a)) Char,Use Case List Paragraph Char,Bullets Char,YC Bulet Char,lp1 Char,List Paragraph1 Char,Liste 1 Char,d_bodyb Char,Bullets in Table Lysys Char"/>
    <w:link w:val="ListParagraph"/>
    <w:uiPriority w:val="34"/>
    <w:locked/>
    <w:rsid w:val="00626320"/>
    <w:rPr>
      <w:rFonts w:ascii="Times New Roman" w:eastAsia="Times New Roman" w:hAnsi="Times New Roman" w:cs="Arabic Transparent"/>
      <w:sz w:val="26"/>
      <w:szCs w:val="28"/>
      <w:lang w:eastAsia="ar-SA"/>
    </w:rPr>
  </w:style>
  <w:style w:type="table" w:styleId="TableGrid">
    <w:name w:val="Table Grid"/>
    <w:basedOn w:val="TableNormal"/>
    <w:uiPriority w:val="39"/>
    <w:rsid w:val="006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74E71"/>
    <w:pPr>
      <w:bidi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bidi="ar-E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E71"/>
    <w:rPr>
      <w:sz w:val="20"/>
      <w:szCs w:val="20"/>
      <w:lang w:bidi="ar-EG"/>
    </w:rPr>
  </w:style>
  <w:style w:type="paragraph" w:styleId="PlainText">
    <w:name w:val="Plain Text"/>
    <w:basedOn w:val="Normal"/>
    <w:link w:val="PlainTextChar"/>
    <w:uiPriority w:val="99"/>
    <w:unhideWhenUsed/>
    <w:rsid w:val="00C94D93"/>
    <w:pPr>
      <w:bidi w:val="0"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4D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D794-2877-4707-8C02-68A2B00C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Salma Mostafa Ahmed Sayed</cp:lastModifiedBy>
  <cp:revision>5</cp:revision>
  <cp:lastPrinted>2025-09-14T10:52:00Z</cp:lastPrinted>
  <dcterms:created xsi:type="dcterms:W3CDTF">2025-09-14T07:27:00Z</dcterms:created>
  <dcterms:modified xsi:type="dcterms:W3CDTF">2025-09-14T10:52:00Z</dcterms:modified>
</cp:coreProperties>
</file>